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C264" w14:textId="77777777" w:rsidR="00000000" w:rsidRDefault="00D13583">
      <w:pPr>
        <w:spacing w:beforeLines="50" w:before="180"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第一部分：金網獎</w:t>
      </w:r>
    </w:p>
    <w:p w14:paraId="0769605B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第一組：本會所屬署（局）一級機關之機關網站</w:t>
      </w:r>
    </w:p>
    <w:p w14:paraId="70A2375B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林務局全球資訊網（</w:t>
      </w:r>
      <w:r>
        <w:rPr>
          <w:rFonts w:ascii="標楷體" w:eastAsia="標楷體" w:hAnsi="標楷體" w:cs="Arial"/>
          <w:sz w:val="28"/>
          <w:szCs w:val="28"/>
        </w:rPr>
        <w:t>http://www.forest.gov.tw/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1A329605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21B21051" w14:textId="77777777" w:rsidR="00000000" w:rsidRDefault="00D13583">
      <w:pPr>
        <w:widowControl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網站架構及分類清楚，易於明暸及檢索</w:t>
      </w:r>
    </w:p>
    <w:p w14:paraId="4728A660" w14:textId="77777777" w:rsidR="00000000" w:rsidRDefault="00D13583">
      <w:pPr>
        <w:widowControl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提供豐富的自然保育知識，極富教育意義</w:t>
      </w:r>
    </w:p>
    <w:p w14:paraId="7D839E7E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第二組：本會所屬署（局）外一級機關及本會所屬二級機關之機關網站</w:t>
      </w:r>
    </w:p>
    <w:p w14:paraId="3D643E03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農業試驗所全球資訊網（</w:t>
      </w:r>
      <w:r>
        <w:rPr>
          <w:rFonts w:ascii="標楷體" w:eastAsia="標楷體" w:hAnsi="標楷體" w:cs="Arial"/>
          <w:sz w:val="28"/>
          <w:szCs w:val="28"/>
        </w:rPr>
        <w:t>http://www.tari.gov.tw/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49ABC4D8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5DAB5E72" w14:textId="77777777" w:rsidR="00000000" w:rsidRDefault="00D13583">
      <w:pPr>
        <w:widowControl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t>很有特色的首頁，</w:t>
      </w:r>
      <w:r>
        <w:rPr>
          <w:rFonts w:ascii="標楷體" w:eastAsia="標楷體" w:hAnsi="標楷體" w:hint="eastAsia"/>
          <w:sz w:val="28"/>
          <w:szCs w:val="28"/>
        </w:rPr>
        <w:t>表露出</w:t>
      </w:r>
      <w:r>
        <w:rPr>
          <w:rFonts w:ascii="標楷體" w:eastAsia="標楷體" w:hAnsi="標楷體" w:cs="Arial" w:hint="eastAsia"/>
          <w:snapToGrid w:val="0"/>
          <w:sz w:val="28"/>
          <w:szCs w:val="28"/>
        </w:rPr>
        <w:t>求</w:t>
      </w:r>
      <w:r>
        <w:rPr>
          <w:rFonts w:ascii="標楷體" w:eastAsia="標楷體" w:hAnsi="標楷體" w:hint="eastAsia"/>
          <w:sz w:val="28"/>
          <w:szCs w:val="28"/>
        </w:rPr>
        <w:t>新求變的精神</w:t>
      </w:r>
    </w:p>
    <w:p w14:paraId="12531C4D" w14:textId="77777777" w:rsidR="00000000" w:rsidRDefault="00D13583">
      <w:pPr>
        <w:widowControl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網站內容豐富、資料充足、適切性亦高</w:t>
      </w:r>
    </w:p>
    <w:p w14:paraId="19716422" w14:textId="77777777" w:rsidR="00000000" w:rsidRDefault="00D13583">
      <w:pPr>
        <w:widowControl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提供簡明之英文版本，依國外人士需求設計，分類清楚易操</w:t>
      </w:r>
      <w:r>
        <w:rPr>
          <w:rFonts w:ascii="標楷體" w:eastAsia="標楷體" w:hAnsi="標楷體" w:cs="Arial" w:hint="eastAsia"/>
          <w:snapToGrid w:val="0"/>
          <w:sz w:val="28"/>
          <w:szCs w:val="28"/>
        </w:rPr>
        <w:t>作</w:t>
      </w:r>
    </w:p>
    <w:p w14:paraId="2E1B1BA2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林業試驗所全球</w:t>
      </w:r>
      <w:r>
        <w:rPr>
          <w:rFonts w:ascii="標楷體" w:eastAsia="標楷體" w:hAnsi="標楷體" w:cs="Arial" w:hint="eastAsia"/>
          <w:sz w:val="28"/>
          <w:szCs w:val="28"/>
        </w:rPr>
        <w:t>資訊網</w:t>
      </w:r>
      <w:bookmarkStart w:id="0" w:name="OLE_LINK1"/>
      <w:r>
        <w:rPr>
          <w:rFonts w:ascii="標楷體" w:eastAsia="標楷體" w:hAnsi="標楷體" w:cs="Arial" w:hint="eastAsia"/>
          <w:sz w:val="28"/>
          <w:szCs w:val="28"/>
        </w:rPr>
        <w:t>（</w:t>
      </w:r>
      <w:r>
        <w:rPr>
          <w:rFonts w:ascii="標楷體" w:eastAsia="標楷體" w:hAnsi="標楷體" w:cs="Arial"/>
          <w:sz w:val="28"/>
          <w:szCs w:val="28"/>
        </w:rPr>
        <w:t>http://www.tfri.gov.tw/</w:t>
      </w:r>
      <w:bookmarkEnd w:id="0"/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60FFE0EE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5364E473" w14:textId="77777777" w:rsidR="00000000" w:rsidRDefault="00D13583">
      <w:pPr>
        <w:widowControl/>
        <w:numPr>
          <w:ilvl w:val="0"/>
          <w:numId w:val="4"/>
        </w:numPr>
        <w:spacing w:line="440" w:lineRule="exact"/>
        <w:jc w:val="both"/>
        <w:rPr>
          <w:rFonts w:ascii="標楷體" w:eastAsia="標楷體" w:hAnsi="標楷體" w:cs="Arial" w:hint="eastAsia"/>
          <w:snapToGrid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分類清楚、內容豐</w:t>
      </w:r>
      <w:r>
        <w:rPr>
          <w:rFonts w:ascii="標楷體" w:eastAsia="標楷體" w:hAnsi="標楷體" w:cs="Arial" w:hint="eastAsia"/>
          <w:snapToGrid w:val="0"/>
          <w:sz w:val="28"/>
          <w:szCs w:val="28"/>
        </w:rPr>
        <w:t>富、設計簡單明瞭</w:t>
      </w:r>
    </w:p>
    <w:p w14:paraId="609CEF62" w14:textId="77777777" w:rsidR="00000000" w:rsidRDefault="00D13583">
      <w:pPr>
        <w:widowControl/>
        <w:numPr>
          <w:ilvl w:val="0"/>
          <w:numId w:val="4"/>
        </w:numPr>
        <w:spacing w:line="440" w:lineRule="exact"/>
        <w:jc w:val="both"/>
        <w:rPr>
          <w:rFonts w:ascii="標楷體" w:eastAsia="標楷體" w:hAnsi="標楷體" w:cs="Arial" w:hint="eastAsia"/>
          <w:snapToGrid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t>有英文，兒童網是廣度服務，台北植物園週邊網站的設計內涵增加不少掌聲</w:t>
      </w:r>
    </w:p>
    <w:p w14:paraId="7F987A1C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臺南區農業改良場全球資訊網（</w:t>
      </w:r>
      <w:r>
        <w:rPr>
          <w:rFonts w:ascii="標楷體" w:eastAsia="標楷體" w:hAnsi="標楷體" w:cs="Arial"/>
          <w:sz w:val="28"/>
          <w:szCs w:val="28"/>
        </w:rPr>
        <w:t>http://www.tndais.gov.tw/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17917983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42EF5B73" w14:textId="77777777" w:rsidR="00000000" w:rsidRDefault="00D13583">
      <w:pPr>
        <w:widowControl/>
        <w:numPr>
          <w:ilvl w:val="0"/>
          <w:numId w:val="5"/>
        </w:numPr>
        <w:spacing w:line="440" w:lineRule="exact"/>
        <w:jc w:val="both"/>
        <w:rPr>
          <w:rFonts w:ascii="標楷體" w:eastAsia="標楷體" w:hAnsi="標楷體" w:cs="Arial" w:hint="eastAsia"/>
          <w:snapToGrid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t>生活資訊充足，文字所表達重點確切詳實，導覽功能清晰便利，專業資訊豐富完整，對農民與民眾有不錯的幫助</w:t>
      </w:r>
    </w:p>
    <w:p w14:paraId="739421D7" w14:textId="77777777" w:rsidR="00000000" w:rsidRDefault="00D13583">
      <w:pPr>
        <w:widowControl/>
        <w:numPr>
          <w:ilvl w:val="0"/>
          <w:numId w:val="5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t>不太使用圖片，呈現結果卻能有閱讀美感，是不簡單的功力</w:t>
      </w:r>
    </w:p>
    <w:p w14:paraId="14E337DC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第三組：本會各單位及所屬各機關所建置之主題網站</w:t>
      </w:r>
    </w:p>
    <w:p w14:paraId="6BE2A50C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農業易遊網（</w:t>
      </w:r>
      <w:r>
        <w:rPr>
          <w:rFonts w:ascii="標楷體" w:eastAsia="標楷體" w:hAnsi="標楷體" w:cs="Arial"/>
          <w:sz w:val="28"/>
          <w:szCs w:val="28"/>
        </w:rPr>
        <w:t>http://ezfun.coa</w:t>
      </w:r>
      <w:r>
        <w:rPr>
          <w:rFonts w:ascii="標楷體" w:eastAsia="標楷體" w:hAnsi="標楷體" w:cs="Arial"/>
          <w:sz w:val="28"/>
          <w:szCs w:val="28"/>
        </w:rPr>
        <w:t>.gov.tw/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70E2AB0D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42C90EEE" w14:textId="77777777" w:rsidR="00000000" w:rsidRDefault="00D13583">
      <w:pPr>
        <w:widowControl/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 w:cs="Arial" w:hint="eastAsia"/>
          <w:snapToGrid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lastRenderedPageBreak/>
        <w:t>網站內容豐富完整，實用性及可讀性高，主題分類具特色；訊息性強，保持更新狀況，內容包羅萬象</w:t>
      </w:r>
    </w:p>
    <w:p w14:paraId="364E8805" w14:textId="77777777" w:rsidR="00000000" w:rsidRDefault="00D13583">
      <w:pPr>
        <w:widowControl/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sz w:val="28"/>
          <w:szCs w:val="28"/>
        </w:rPr>
        <w:t>結合人氣推薦、特色達人，搭配部落格與影像故事，網站內容豐富精采而不感繁複</w:t>
      </w:r>
    </w:p>
    <w:p w14:paraId="7DC4ED32" w14:textId="77777777" w:rsidR="00000000" w:rsidRDefault="00D13583">
      <w:pPr>
        <w:widowControl/>
        <w:numPr>
          <w:ilvl w:val="1"/>
          <w:numId w:val="1"/>
        </w:numPr>
        <w:spacing w:line="440" w:lineRule="exact"/>
        <w:ind w:left="964" w:hanging="482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國家步道導覽網（</w:t>
      </w:r>
      <w:r>
        <w:rPr>
          <w:rFonts w:ascii="標楷體" w:eastAsia="標楷體" w:hAnsi="標楷體" w:cs="Arial"/>
          <w:sz w:val="28"/>
          <w:szCs w:val="28"/>
        </w:rPr>
        <w:t>http://trail.forest.gov.tw/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14:paraId="06CC9F03" w14:textId="77777777" w:rsidR="00000000" w:rsidRDefault="00D13583">
      <w:pPr>
        <w:spacing w:line="440" w:lineRule="exact"/>
        <w:ind w:left="96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得獎理由：</w:t>
      </w:r>
    </w:p>
    <w:p w14:paraId="72FCF5B4" w14:textId="77777777" w:rsidR="00000000" w:rsidRDefault="00D13583">
      <w:pPr>
        <w:widowControl/>
        <w:numPr>
          <w:ilvl w:val="0"/>
          <w:numId w:val="7"/>
        </w:numPr>
        <w:spacing w:line="440" w:lineRule="exact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首頁優化環境宣言，給了同好一個省思的空間，並提供關閉設計，非常貼心</w:t>
      </w:r>
    </w:p>
    <w:p w14:paraId="6D6ADC65" w14:textId="77777777" w:rsidR="00000000" w:rsidRDefault="00D13583">
      <w:pPr>
        <w:widowControl/>
        <w:numPr>
          <w:ilvl w:val="0"/>
          <w:numId w:val="7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步道資料庫化，兼具專業及便民用途，相當實用性</w:t>
      </w:r>
    </w:p>
    <w:p w14:paraId="3795FF02" w14:textId="77777777" w:rsidR="00000000" w:rsidRDefault="00D13583">
      <w:pPr>
        <w:spacing w:beforeLines="50" w:before="180"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第二部分：入圍網站獎</w:t>
      </w:r>
    </w:p>
    <w:p w14:paraId="1064D45C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第一組：本會所屬署（局）一級機關之機關網站</w:t>
      </w:r>
    </w:p>
    <w:tbl>
      <w:tblPr>
        <w:tblW w:w="842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120"/>
      </w:tblGrid>
      <w:tr w:rsidR="00000000" w14:paraId="2F0E90A2" w14:textId="77777777">
        <w:trPr>
          <w:trHeight w:val="406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7EBA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網站名稱</w:t>
            </w:r>
          </w:p>
        </w:tc>
        <w:tc>
          <w:tcPr>
            <w:tcW w:w="4120" w:type="dxa"/>
            <w:vAlign w:val="center"/>
          </w:tcPr>
          <w:p w14:paraId="5D916CFA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　　址</w:t>
            </w:r>
          </w:p>
        </w:tc>
      </w:tr>
      <w:tr w:rsidR="00000000" w14:paraId="29719DA6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F5A36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動植物防疫檢疫局全球資訊網</w:t>
            </w:r>
          </w:p>
        </w:tc>
        <w:tc>
          <w:tcPr>
            <w:tcW w:w="4120" w:type="dxa"/>
          </w:tcPr>
          <w:p w14:paraId="19C4AEC6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http://www.baphiq.gov.tw/</w:t>
            </w:r>
          </w:p>
        </w:tc>
      </w:tr>
      <w:tr w:rsidR="00000000" w14:paraId="51A0DCEF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9BA3B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水土保持局全球資訊網</w:t>
            </w:r>
          </w:p>
        </w:tc>
        <w:tc>
          <w:tcPr>
            <w:tcW w:w="4120" w:type="dxa"/>
          </w:tcPr>
          <w:p w14:paraId="1E2A2381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http://www.swcb.gov.tw/</w:t>
            </w:r>
          </w:p>
        </w:tc>
      </w:tr>
    </w:tbl>
    <w:p w14:paraId="2348AB32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第二組：本會所屬署（局）外一級機關及本會所屬二級機關之機關網站</w:t>
      </w:r>
    </w:p>
    <w:tbl>
      <w:tblPr>
        <w:tblW w:w="842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120"/>
      </w:tblGrid>
      <w:tr w:rsidR="00000000" w14:paraId="6A18D47A" w14:textId="77777777">
        <w:trPr>
          <w:trHeight w:val="321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C65FF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網站名稱</w:t>
            </w:r>
          </w:p>
        </w:tc>
        <w:tc>
          <w:tcPr>
            <w:tcW w:w="4120" w:type="dxa"/>
            <w:vAlign w:val="center"/>
          </w:tcPr>
          <w:p w14:paraId="6341B064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　　址</w:t>
            </w:r>
          </w:p>
        </w:tc>
      </w:tr>
      <w:tr w:rsidR="00000000" w14:paraId="12DB892C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C3897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水產試驗所全球資訊網</w:t>
            </w:r>
          </w:p>
        </w:tc>
        <w:tc>
          <w:tcPr>
            <w:tcW w:w="4120" w:type="dxa"/>
          </w:tcPr>
          <w:p w14:paraId="6533E4C0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http://www.tfrin.gov.tw/</w:t>
            </w:r>
          </w:p>
        </w:tc>
      </w:tr>
      <w:tr w:rsidR="00000000" w14:paraId="3613AFF2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A1449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家畜衛生試驗所全球資訊網</w:t>
            </w:r>
          </w:p>
        </w:tc>
        <w:tc>
          <w:tcPr>
            <w:tcW w:w="4120" w:type="dxa"/>
          </w:tcPr>
          <w:p w14:paraId="6858E9F1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http://www.nvri.gov.tw/</w:t>
            </w:r>
          </w:p>
        </w:tc>
      </w:tr>
      <w:tr w:rsidR="00000000" w14:paraId="29F72E7A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1B83F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農業藥物毒物試驗所全球資訊網</w:t>
            </w:r>
          </w:p>
        </w:tc>
        <w:tc>
          <w:tcPr>
            <w:tcW w:w="4120" w:type="dxa"/>
          </w:tcPr>
          <w:p w14:paraId="561620DA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http://www.tactri.gov.tw/</w:t>
            </w:r>
          </w:p>
        </w:tc>
      </w:tr>
      <w:tr w:rsidR="00000000" w14:paraId="4EEA7653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ECBA6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特有生物研究保育中心全球資訊網</w:t>
            </w:r>
          </w:p>
        </w:tc>
        <w:tc>
          <w:tcPr>
            <w:tcW w:w="4120" w:type="dxa"/>
          </w:tcPr>
          <w:p w14:paraId="5497642A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http://www.tesri.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gov.tw/</w:t>
            </w:r>
          </w:p>
        </w:tc>
      </w:tr>
      <w:tr w:rsidR="00000000" w14:paraId="10F08997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A2A8B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苗栗區農業改良場全球資訊網</w:t>
            </w:r>
          </w:p>
        </w:tc>
        <w:tc>
          <w:tcPr>
            <w:tcW w:w="4120" w:type="dxa"/>
          </w:tcPr>
          <w:p w14:paraId="4DCEC88C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http://www.mdais.gov.tw/</w:t>
            </w:r>
          </w:p>
        </w:tc>
      </w:tr>
      <w:tr w:rsidR="00000000" w14:paraId="6F1A660B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B1A74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屏東農業生物技術園區籌備處全球資訊網</w:t>
            </w:r>
          </w:p>
        </w:tc>
        <w:tc>
          <w:tcPr>
            <w:tcW w:w="4120" w:type="dxa"/>
          </w:tcPr>
          <w:p w14:paraId="4E92C19C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http://www.pabp.gov.tw/</w:t>
            </w:r>
          </w:p>
        </w:tc>
      </w:tr>
      <w:tr w:rsidR="00000000" w14:paraId="5ADD107E" w14:textId="77777777">
        <w:trPr>
          <w:trHeight w:val="330"/>
        </w:trPr>
        <w:tc>
          <w:tcPr>
            <w:tcW w:w="4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9B52C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林務局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臺東林區管理處全球資訊網</w:t>
            </w:r>
          </w:p>
        </w:tc>
        <w:tc>
          <w:tcPr>
            <w:tcW w:w="4120" w:type="dxa"/>
          </w:tcPr>
          <w:p w14:paraId="6F383884" w14:textId="77777777" w:rsidR="00000000" w:rsidRDefault="00D13583">
            <w:pPr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http://taitung.forest.gov.tw/</w:t>
            </w:r>
          </w:p>
        </w:tc>
      </w:tr>
    </w:tbl>
    <w:p w14:paraId="6DCEAB61" w14:textId="77777777" w:rsidR="00000000" w:rsidRDefault="00D13583">
      <w:pPr>
        <w:widowControl/>
        <w:numPr>
          <w:ilvl w:val="0"/>
          <w:numId w:val="1"/>
        </w:numPr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第三組：本會各單位及所屬各機關所建置之主題網站</w:t>
      </w:r>
    </w:p>
    <w:tbl>
      <w:tblPr>
        <w:tblW w:w="842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8"/>
        <w:gridCol w:w="5400"/>
      </w:tblGrid>
      <w:tr w:rsidR="00000000" w14:paraId="3D1A3362" w14:textId="77777777">
        <w:trPr>
          <w:trHeight w:val="360"/>
        </w:trPr>
        <w:tc>
          <w:tcPr>
            <w:tcW w:w="3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1A0E0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網站名稱</w:t>
            </w:r>
          </w:p>
        </w:tc>
        <w:tc>
          <w:tcPr>
            <w:tcW w:w="5400" w:type="dxa"/>
            <w:vAlign w:val="center"/>
          </w:tcPr>
          <w:p w14:paraId="69D575EF" w14:textId="77777777" w:rsidR="00000000" w:rsidRDefault="00D13583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網　　址</w:t>
            </w:r>
          </w:p>
        </w:tc>
      </w:tr>
      <w:tr w:rsidR="00000000" w14:paraId="429F2ACE" w14:textId="77777777">
        <w:trPr>
          <w:trHeight w:val="330"/>
        </w:trPr>
        <w:tc>
          <w:tcPr>
            <w:tcW w:w="3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1FD1C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農糧署北區分署資訊網</w:t>
            </w:r>
          </w:p>
        </w:tc>
        <w:tc>
          <w:tcPr>
            <w:tcW w:w="5400" w:type="dxa"/>
          </w:tcPr>
          <w:p w14:paraId="65C7F216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http://www.tefd.gov.tw/</w:t>
            </w:r>
          </w:p>
        </w:tc>
      </w:tr>
      <w:tr w:rsidR="00000000" w14:paraId="1386BBD6" w14:textId="77777777">
        <w:trPr>
          <w:trHeight w:val="330"/>
        </w:trPr>
        <w:tc>
          <w:tcPr>
            <w:tcW w:w="3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A017E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禽流感主題網</w:t>
            </w:r>
          </w:p>
        </w:tc>
        <w:tc>
          <w:tcPr>
            <w:tcW w:w="5400" w:type="dxa"/>
          </w:tcPr>
          <w:p w14:paraId="1F5824C1" w14:textId="77777777" w:rsidR="00000000" w:rsidRDefault="00D1358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http://www.baphiq.gov.tw/mp.asp?mp=3</w:t>
            </w:r>
          </w:p>
        </w:tc>
      </w:tr>
    </w:tbl>
    <w:p w14:paraId="32E0AB4D" w14:textId="77777777" w:rsidR="00D13583" w:rsidRDefault="00D13583">
      <w:pPr>
        <w:rPr>
          <w:rFonts w:hint="eastAsia"/>
        </w:rPr>
      </w:pPr>
    </w:p>
    <w:sectPr w:rsidR="00D13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EEA"/>
    <w:multiLevelType w:val="hybridMultilevel"/>
    <w:tmpl w:val="85185B46"/>
    <w:lvl w:ilvl="0" w:tplc="28360F58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1" w15:restartNumberingAfterBreak="0">
    <w:nsid w:val="1EEA2D15"/>
    <w:multiLevelType w:val="hybridMultilevel"/>
    <w:tmpl w:val="9648AFDC"/>
    <w:lvl w:ilvl="0" w:tplc="766EE5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27AD58D4"/>
    <w:multiLevelType w:val="hybridMultilevel"/>
    <w:tmpl w:val="F3522FC2"/>
    <w:lvl w:ilvl="0" w:tplc="7298AF0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301F6B"/>
    <w:multiLevelType w:val="hybridMultilevel"/>
    <w:tmpl w:val="F77CFF92"/>
    <w:lvl w:ilvl="0" w:tplc="BCB4C9F2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4" w15:restartNumberingAfterBreak="0">
    <w:nsid w:val="3B57474D"/>
    <w:multiLevelType w:val="hybridMultilevel"/>
    <w:tmpl w:val="F326AADA"/>
    <w:lvl w:ilvl="0" w:tplc="14CC1746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5" w15:restartNumberingAfterBreak="0">
    <w:nsid w:val="690F28C4"/>
    <w:multiLevelType w:val="hybridMultilevel"/>
    <w:tmpl w:val="0F464C7E"/>
    <w:lvl w:ilvl="0" w:tplc="126E4F34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6" w15:restartNumberingAfterBreak="0">
    <w:nsid w:val="7EDA419B"/>
    <w:multiLevelType w:val="hybridMultilevel"/>
    <w:tmpl w:val="40A8ED60"/>
    <w:lvl w:ilvl="0" w:tplc="5ED6B50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95"/>
    <w:rsid w:val="005A1195"/>
    <w:rsid w:val="00D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C2BDA"/>
  <w15:chartTrackingRefBased/>
  <w15:docId w15:val="{FB0CFACE-CB74-42AC-9DCF-A52EB8CE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第一部分：金網獎</vt:lpstr>
    </vt:vector>
  </TitlesOfParts>
  <Company>coa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第一部分：金網獎</dc:title>
  <dc:subject/>
  <dc:creator>PR4607</dc:creator>
  <cp:keywords/>
  <dc:description/>
  <cp:lastModifiedBy>Emma</cp:lastModifiedBy>
  <cp:revision>2</cp:revision>
  <dcterms:created xsi:type="dcterms:W3CDTF">2021-06-19T17:28:00Z</dcterms:created>
  <dcterms:modified xsi:type="dcterms:W3CDTF">2021-06-19T17:28:00Z</dcterms:modified>
</cp:coreProperties>
</file>