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4"/>
      </w:tblGrid>
      <w:tr w:rsidR="00E3128A" w:rsidRPr="00CB44E2" w14:paraId="496E48EF" w14:textId="77777777" w:rsidTr="00395FB2">
        <w:trPr>
          <w:trHeight w:val="708"/>
        </w:trPr>
        <w:tc>
          <w:tcPr>
            <w:tcW w:w="4563" w:type="dxa"/>
          </w:tcPr>
          <w:p w14:paraId="40295C54" w14:textId="77777777" w:rsidR="00E3128A" w:rsidRPr="002C0330" w:rsidRDefault="00395FB2" w:rsidP="00395FB2">
            <w:pPr>
              <w:spacing w:line="400" w:lineRule="exact"/>
              <w:rPr>
                <w:rFonts w:ascii="Arial" w:eastAsia="標楷體" w:hAnsi="Arial" w:cs="Arial"/>
                <w:color w:val="000000"/>
                <w:sz w:val="28"/>
              </w:rPr>
            </w:pPr>
            <w:r w:rsidRPr="002C0330">
              <w:rPr>
                <w:rFonts w:ascii="Arial" w:eastAsia="標楷體" w:hAnsi="標楷體" w:cs="Arial"/>
                <w:color w:val="000000"/>
                <w:sz w:val="28"/>
              </w:rPr>
              <w:t>第</w:t>
            </w:r>
            <w:r w:rsidR="00E53100">
              <w:rPr>
                <w:rFonts w:ascii="Arial" w:eastAsia="標楷體" w:hAnsi="標楷體" w:cs="Arial" w:hint="eastAsia"/>
                <w:color w:val="000000"/>
                <w:sz w:val="28"/>
              </w:rPr>
              <w:t>6281</w:t>
            </w:r>
            <w:r w:rsidRPr="002C0330">
              <w:rPr>
                <w:rFonts w:ascii="Arial" w:eastAsia="標楷體" w:hAnsi="標楷體" w:cs="Arial"/>
                <w:color w:val="000000"/>
                <w:sz w:val="28"/>
              </w:rPr>
              <w:t>號</w:t>
            </w:r>
          </w:p>
        </w:tc>
        <w:tc>
          <w:tcPr>
            <w:tcW w:w="4563" w:type="dxa"/>
          </w:tcPr>
          <w:p w14:paraId="0DC7EA25" w14:textId="77777777" w:rsidR="00E3128A" w:rsidRPr="002C0330" w:rsidRDefault="00395FB2" w:rsidP="00395FB2">
            <w:pPr>
              <w:spacing w:line="400" w:lineRule="exact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2C0330">
              <w:rPr>
                <w:rFonts w:ascii="Arial" w:eastAsia="標楷體" w:hAnsi="標楷體" w:cs="Arial"/>
                <w:color w:val="000000"/>
                <w:sz w:val="28"/>
              </w:rPr>
              <w:t>中華民國</w:t>
            </w:r>
            <w:bookmarkStart w:id="0" w:name="Year"/>
            <w:r w:rsidRPr="002C0330">
              <w:rPr>
                <w:rFonts w:ascii="Arial" w:eastAsia="標楷體" w:hAnsi="Arial" w:cs="Arial"/>
                <w:color w:val="000000"/>
                <w:sz w:val="28"/>
              </w:rPr>
              <w:t>100</w:t>
            </w:r>
            <w:bookmarkEnd w:id="0"/>
            <w:r w:rsidRPr="002C0330">
              <w:rPr>
                <w:rFonts w:ascii="Arial" w:eastAsia="標楷體" w:hAnsi="標楷體" w:cs="Arial"/>
                <w:color w:val="000000"/>
                <w:sz w:val="28"/>
              </w:rPr>
              <w:t>年</w:t>
            </w:r>
            <w:r w:rsidR="0054295C">
              <w:rPr>
                <w:rFonts w:ascii="Arial" w:eastAsia="標楷體" w:hAnsi="Arial" w:cs="Arial" w:hint="eastAsia"/>
                <w:color w:val="000000"/>
                <w:sz w:val="28"/>
              </w:rPr>
              <w:t>10</w:t>
            </w:r>
            <w:r w:rsidRPr="002C0330">
              <w:rPr>
                <w:rFonts w:ascii="Arial" w:eastAsia="標楷體" w:hAnsi="標楷體" w:cs="Arial"/>
                <w:color w:val="000000"/>
                <w:sz w:val="28"/>
              </w:rPr>
              <w:t>月</w:t>
            </w:r>
            <w:r w:rsidR="00AC0E1D">
              <w:rPr>
                <w:rFonts w:ascii="Arial" w:eastAsia="標楷體" w:hAnsi="標楷體" w:cs="Arial" w:hint="eastAsia"/>
                <w:color w:val="000000"/>
                <w:sz w:val="28"/>
              </w:rPr>
              <w:t>2</w:t>
            </w:r>
            <w:r w:rsidR="006B67D6">
              <w:rPr>
                <w:rFonts w:ascii="Arial" w:eastAsia="標楷體" w:hAnsi="標楷體" w:cs="Arial" w:hint="eastAsia"/>
                <w:color w:val="000000"/>
                <w:sz w:val="28"/>
              </w:rPr>
              <w:t>0</w:t>
            </w:r>
            <w:r w:rsidRPr="002C0330">
              <w:rPr>
                <w:rFonts w:ascii="Arial" w:eastAsia="標楷體" w:hAnsi="標楷體" w:cs="Arial"/>
                <w:color w:val="000000"/>
                <w:sz w:val="28"/>
              </w:rPr>
              <w:t>日</w:t>
            </w:r>
          </w:p>
        </w:tc>
      </w:tr>
      <w:tr w:rsidR="00E3128A" w:rsidRPr="00CB44E2" w14:paraId="011646B1" w14:textId="77777777" w:rsidTr="005D1A6C">
        <w:trPr>
          <w:trHeight w:val="481"/>
        </w:trPr>
        <w:tc>
          <w:tcPr>
            <w:tcW w:w="9126" w:type="dxa"/>
            <w:gridSpan w:val="2"/>
          </w:tcPr>
          <w:p w14:paraId="26F0DB35" w14:textId="77777777" w:rsidR="00E3128A" w:rsidRPr="00A41CCB" w:rsidRDefault="006B67D6" w:rsidP="00FE2934">
            <w:pPr>
              <w:spacing w:beforeLines="50" w:before="180" w:afterLines="50" w:after="180"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32"/>
                <w:szCs w:val="32"/>
              </w:rPr>
              <w:t>確保鯊魚資源永續利用　兼顧資源保育與飲食文化傳承</w:t>
            </w:r>
          </w:p>
        </w:tc>
      </w:tr>
      <w:tr w:rsidR="00E3128A" w:rsidRPr="00CB44E2" w14:paraId="2C7DC985" w14:textId="77777777" w:rsidTr="005D1A6C">
        <w:trPr>
          <w:trHeight w:val="11407"/>
        </w:trPr>
        <w:tc>
          <w:tcPr>
            <w:tcW w:w="9126" w:type="dxa"/>
            <w:gridSpan w:val="2"/>
          </w:tcPr>
          <w:p w14:paraId="4EA29DE3" w14:textId="77777777" w:rsidR="00A41CCB" w:rsidRDefault="00890F8C" w:rsidP="00AB7B1B">
            <w:pPr>
              <w:spacing w:line="480" w:lineRule="exact"/>
              <w:jc w:val="both"/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我國未非法捕撈鯊魚，已</w:t>
            </w:r>
            <w:r w:rsidRPr="00890F8C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獲</w:t>
            </w:r>
            <w:r w:rsidRPr="00890F8C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皮尤環境組織理解</w:t>
            </w:r>
          </w:p>
          <w:p w14:paraId="4F8FE009" w14:textId="77777777" w:rsidR="00111E74" w:rsidRDefault="006B2BF7" w:rsidP="00111E74">
            <w:pPr>
              <w:spacing w:line="480" w:lineRule="exact"/>
              <w:ind w:firstLineChars="200" w:firstLine="560"/>
              <w:rPr>
                <w:rFonts w:eastAsia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關於美國「皮尤環境組織」（</w:t>
            </w:r>
            <w:r w:rsidRPr="006B2BF7">
              <w:rPr>
                <w:rFonts w:eastAsia="標楷體"/>
                <w:color w:val="000000"/>
                <w:kern w:val="0"/>
                <w:sz w:val="28"/>
                <w:szCs w:val="28"/>
              </w:rPr>
              <w:t>Pew Environment Group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）於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日公布臺灣漁民</w:t>
            </w:r>
            <w:r w:rsidR="00142D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卸載</w:t>
            </w:r>
            <w:r w:rsidR="00111E74" w:rsidRPr="00111E7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鯊魚</w:t>
            </w:r>
            <w:r w:rsidR="00142D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及魚翅加工等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照片，政府於該組織公布照片前，已事先與該組織充</w:t>
            </w:r>
            <w:r w:rsidR="00111E74" w:rsidRPr="00111E7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溝通，並強調該組織所拍攝之相關照片與影片，並無涉及「割鰭棄身」等非法捕撈鯊魚情事，該組織並表示瞭解</w:t>
            </w:r>
            <w:r w:rsidR="00890F8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該等照片或影片未涉及非法作業</w:t>
            </w:r>
            <w:r w:rsidR="00111E74" w:rsidRPr="00111E7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5D92A504" w14:textId="77777777" w:rsidR="004B0619" w:rsidRDefault="004B0619" w:rsidP="0006320E">
            <w:pPr>
              <w:spacing w:line="480" w:lineRule="exact"/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5DD16BEF" w14:textId="77777777" w:rsidR="00890F8C" w:rsidRDefault="008F6F62" w:rsidP="0006320E">
            <w:pPr>
              <w:spacing w:line="480" w:lineRule="exact"/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東西方飲食文化不同，應彼此尊重</w:t>
            </w:r>
          </w:p>
          <w:p w14:paraId="462695BA" w14:textId="77777777" w:rsidR="00E8756C" w:rsidRDefault="00890F8C" w:rsidP="00890F8C">
            <w:pPr>
              <w:spacing w:line="480" w:lineRule="exact"/>
              <w:ind w:firstLineChars="200" w:firstLine="560"/>
              <w:rPr>
                <w:rFonts w:eastAsia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鯊魚為一種重要漁業資源，並是國人重要的蛋白質來源之一</w:t>
            </w:r>
            <w:r w:rsidR="0041579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。</w:t>
            </w:r>
            <w:r w:rsidRPr="00111E7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我國使用鯊魚資源歷史由來已久，</w:t>
            </w:r>
            <w:r w:rsidR="0021143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對鯊魚漁獲物早已採取全魚利用，並利用其魚肉</w:t>
            </w:r>
            <w:r w:rsidR="00211430" w:rsidRPr="00111E7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做成鯊魚煙</w:t>
            </w:r>
            <w:r w:rsidR="0041579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211430" w:rsidRPr="00111E7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魚丸</w:t>
            </w:r>
            <w:r w:rsidR="0041579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及魚排</w:t>
            </w:r>
            <w:r w:rsidR="00211430" w:rsidRPr="00111E7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等各式</w:t>
            </w:r>
            <w:r w:rsidR="0041579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菜</w:t>
            </w:r>
            <w:r w:rsidR="00211430" w:rsidRPr="00111E7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餚，是台灣傳統飲食文化之一環，與民眾日常飲食密不可分。</w:t>
            </w:r>
          </w:p>
          <w:p w14:paraId="514ADB9C" w14:textId="77777777" w:rsidR="00890F8C" w:rsidRDefault="00E8756C" w:rsidP="00890F8C">
            <w:pPr>
              <w:spacing w:line="480" w:lineRule="exact"/>
              <w:ind w:firstLineChars="200" w:firstLine="560"/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東、西方飲食文化不同，</w:t>
            </w:r>
            <w:r w:rsidR="00B06C3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臺灣人食用鯊魚肉，就如同歐美國家人民喜歡吃鮪魚一樣，</w:t>
            </w:r>
            <w:r w:rsidR="00F75F8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應</w:t>
            </w:r>
            <w:r w:rsidR="0041579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相互</w:t>
            </w:r>
            <w:r w:rsidR="00140D1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尊</w:t>
            </w:r>
            <w:r w:rsidR="008F6F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重。</w:t>
            </w:r>
          </w:p>
          <w:p w14:paraId="3FD7BDBF" w14:textId="77777777" w:rsidR="00890F8C" w:rsidRPr="00753E5F" w:rsidRDefault="00890F8C" w:rsidP="0006320E">
            <w:pPr>
              <w:spacing w:line="480" w:lineRule="exact"/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52972C91" w14:textId="77777777" w:rsidR="008F6F62" w:rsidRPr="00132D82" w:rsidRDefault="008F6F62" w:rsidP="008F6F62">
            <w:pPr>
              <w:spacing w:line="480" w:lineRule="exact"/>
              <w:ind w:left="2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我國</w:t>
            </w:r>
            <w:r w:rsidR="00DB2371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落實國際保育</w:t>
            </w:r>
            <w:r w:rsidRPr="00132D82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鯊魚</w:t>
            </w:r>
            <w:r w:rsidR="00DB2371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管理措施</w:t>
            </w:r>
          </w:p>
          <w:p w14:paraId="0C958AE6" w14:textId="77777777" w:rsidR="00890F8C" w:rsidRPr="00471635" w:rsidRDefault="00AA2478" w:rsidP="00471635">
            <w:pPr>
              <w:spacing w:line="480" w:lineRule="exact"/>
              <w:ind w:firstLineChars="200" w:firstLine="560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我國為漁業國家，向來重視漁業資源之養護與管理，</w:t>
            </w:r>
            <w:r w:rsidR="0022679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除</w:t>
            </w:r>
            <w:r w:rsidR="00226795" w:rsidRPr="008F33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強化</w:t>
            </w:r>
            <w:r w:rsidR="00226795" w:rsidRPr="008F335F">
              <w:rPr>
                <w:rFonts w:eastAsia="標楷體"/>
                <w:color w:val="000000"/>
                <w:kern w:val="0"/>
                <w:sz w:val="28"/>
                <w:szCs w:val="28"/>
              </w:rPr>
              <w:t>鯊魚漁獲統計資料</w:t>
            </w:r>
            <w:r w:rsidR="00226795" w:rsidRPr="008F33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之蒐集</w:t>
            </w:r>
            <w:r w:rsidR="00226795" w:rsidRPr="008F335F">
              <w:rPr>
                <w:rFonts w:eastAsia="標楷體"/>
                <w:color w:val="000000"/>
                <w:kern w:val="0"/>
                <w:sz w:val="28"/>
                <w:szCs w:val="28"/>
              </w:rPr>
              <w:t>，</w:t>
            </w:r>
            <w:r w:rsidR="00C53CF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積極參與國際漁業管理組織（</w:t>
            </w:r>
            <w:r w:rsidR="00C53CF6" w:rsidRPr="008F33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RFMOs</w:t>
            </w:r>
            <w:r w:rsidR="00C53CF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）</w:t>
            </w:r>
            <w:r w:rsidR="00226795" w:rsidRPr="008F335F">
              <w:rPr>
                <w:rFonts w:eastAsia="標楷體"/>
                <w:color w:val="000000"/>
                <w:kern w:val="0"/>
                <w:sz w:val="28"/>
                <w:szCs w:val="28"/>
              </w:rPr>
              <w:t>鯊魚資源</w:t>
            </w:r>
            <w:r w:rsidR="00226795" w:rsidRPr="008F33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之</w:t>
            </w:r>
            <w:r w:rsidR="00226795" w:rsidRPr="008F335F">
              <w:rPr>
                <w:rFonts w:eastAsia="標楷體"/>
                <w:color w:val="000000"/>
                <w:kern w:val="0"/>
                <w:sz w:val="28"/>
                <w:szCs w:val="28"/>
              </w:rPr>
              <w:t>評估</w:t>
            </w:r>
            <w:r w:rsidR="00226795" w:rsidRPr="008F33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工作</w:t>
            </w:r>
            <w:r w:rsidR="0022679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，同時恪遵</w:t>
            </w:r>
            <w:r w:rsidR="00226795" w:rsidRPr="008F33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RFMOs</w:t>
            </w:r>
            <w:r w:rsidRPr="008F33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所通過之鯊魚養護管理措施，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規範</w:t>
            </w:r>
            <w:r w:rsidRPr="00F143A6">
              <w:rPr>
                <w:rFonts w:eastAsia="標楷體"/>
                <w:color w:val="000000"/>
                <w:kern w:val="0"/>
                <w:sz w:val="28"/>
                <w:szCs w:val="28"/>
              </w:rPr>
              <w:t>印度洋作業漁船</w:t>
            </w:r>
            <w:r w:rsidR="0022679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禁止</w:t>
            </w:r>
            <w:r w:rsidRPr="00F143A6">
              <w:rPr>
                <w:rFonts w:eastAsia="標楷體"/>
                <w:color w:val="000000"/>
                <w:kern w:val="0"/>
                <w:sz w:val="28"/>
                <w:szCs w:val="28"/>
              </w:rPr>
              <w:t>捕撈狐鮫</w:t>
            </w:r>
            <w:r w:rsidR="0022679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類鯊魚，</w:t>
            </w:r>
            <w:r w:rsidRPr="00F143A6">
              <w:rPr>
                <w:rFonts w:eastAsia="標楷體"/>
                <w:color w:val="000000"/>
                <w:kern w:val="0"/>
                <w:sz w:val="28"/>
                <w:szCs w:val="28"/>
              </w:rPr>
              <w:t>大西洋海域作業漁船禁止捕撈狐鮫</w:t>
            </w:r>
            <w:r w:rsidR="0022679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類</w:t>
            </w:r>
            <w:r w:rsidRPr="00F143A6">
              <w:rPr>
                <w:rFonts w:eastAsia="標楷體"/>
                <w:color w:val="000000"/>
                <w:kern w:val="0"/>
                <w:sz w:val="28"/>
                <w:szCs w:val="28"/>
              </w:rPr>
              <w:t>、ㄚ髻鮫</w:t>
            </w:r>
            <w:r w:rsidR="0022679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類</w:t>
            </w:r>
            <w:r w:rsidRPr="00F143A6">
              <w:rPr>
                <w:rFonts w:eastAsia="標楷體"/>
                <w:color w:val="000000"/>
                <w:kern w:val="0"/>
                <w:sz w:val="28"/>
                <w:szCs w:val="28"/>
              </w:rPr>
              <w:t>及污斑白眼鮫等</w:t>
            </w:r>
            <w:r w:rsidR="0022679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鯊類</w:t>
            </w:r>
            <w:r w:rsidR="0078083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</w:t>
            </w:r>
            <w:r w:rsidR="0022679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並要求</w:t>
            </w:r>
            <w:r w:rsidRPr="008F33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漁船所捕獲之鯊魚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於卸載</w:t>
            </w:r>
            <w:r w:rsidRPr="008F33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時，</w:t>
            </w:r>
            <w:r w:rsidRPr="008F335F">
              <w:rPr>
                <w:rFonts w:eastAsia="標楷體"/>
                <w:color w:val="000000"/>
                <w:kern w:val="0"/>
                <w:sz w:val="28"/>
                <w:szCs w:val="28"/>
              </w:rPr>
              <w:t>鯊魚鰭與鯊魚身之重量比例不</w:t>
            </w:r>
            <w:r w:rsidR="00753E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超過</w:t>
            </w:r>
            <w:r w:rsidRPr="008F335F">
              <w:rPr>
                <w:rFonts w:eastAsia="標楷體"/>
                <w:color w:val="000000"/>
                <w:kern w:val="0"/>
                <w:sz w:val="28"/>
                <w:szCs w:val="28"/>
              </w:rPr>
              <w:t>5%</w:t>
            </w:r>
            <w:r w:rsidR="0022679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。另外，臺灣</w:t>
            </w:r>
            <w:r w:rsidRPr="008F33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並主動於</w:t>
            </w:r>
            <w:r w:rsidR="00753E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2008</w:t>
            </w:r>
            <w:r w:rsidRPr="00471635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年公告禁止捕撈、</w:t>
            </w:r>
            <w:r w:rsidR="00226795" w:rsidRPr="00471635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販售及持有</w:t>
            </w:r>
            <w:r w:rsidRPr="00471635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鯨鯊</w:t>
            </w:r>
            <w:r w:rsidR="008072B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，維護鯊魚</w:t>
            </w:r>
            <w:r w:rsidR="00753E5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及</w:t>
            </w:r>
            <w:r w:rsidR="008072B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海洋生物</w:t>
            </w:r>
            <w:r w:rsidR="00753E5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之</w:t>
            </w:r>
            <w:r w:rsidR="008072B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多樣性</w:t>
            </w:r>
            <w:r w:rsidRPr="00471635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14:paraId="5FFE5353" w14:textId="77777777" w:rsidR="00471635" w:rsidRPr="00471635" w:rsidRDefault="00471635" w:rsidP="0047163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71635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 xml:space="preserve">　　</w:t>
            </w:r>
            <w:r w:rsidRPr="00471635">
              <w:rPr>
                <w:rFonts w:eastAsia="標楷體" w:hAnsi="標楷體"/>
                <w:bCs/>
                <w:color w:val="000000"/>
                <w:kern w:val="0"/>
                <w:sz w:val="28"/>
                <w:szCs w:val="28"/>
              </w:rPr>
              <w:t>對於國內相關鯊魚管理措施之落實與執行，</w:t>
            </w:r>
            <w:r w:rsidR="002D134F">
              <w:rPr>
                <w:rFonts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除</w:t>
            </w:r>
            <w:r w:rsidRPr="00471635">
              <w:rPr>
                <w:rFonts w:eastAsia="標楷體" w:hAnsi="標楷體"/>
                <w:sz w:val="28"/>
                <w:szCs w:val="28"/>
              </w:rPr>
              <w:t>持續進行港口抽檢工作</w:t>
            </w: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外</w:t>
            </w:r>
            <w:r w:rsidRPr="00471635">
              <w:rPr>
                <w:rFonts w:eastAsia="標楷體" w:hAnsi="標楷體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並配合中西太平洋之海上登</w:t>
            </w:r>
            <w:r w:rsidR="00DB2371">
              <w:rPr>
                <w:rFonts w:eastAsia="標楷體" w:hAnsi="標楷體" w:hint="eastAsia"/>
                <w:sz w:val="28"/>
                <w:szCs w:val="28"/>
              </w:rPr>
              <w:t>臨</w:t>
            </w:r>
            <w:r>
              <w:rPr>
                <w:rFonts w:eastAsia="標楷體" w:hAnsi="標楷體" w:hint="eastAsia"/>
                <w:sz w:val="28"/>
                <w:szCs w:val="28"/>
              </w:rPr>
              <w:t>檢</w:t>
            </w:r>
            <w:r w:rsidR="00DB2371">
              <w:rPr>
                <w:rFonts w:eastAsia="標楷體" w:hAnsi="標楷體" w:hint="eastAsia"/>
                <w:sz w:val="28"/>
                <w:szCs w:val="28"/>
              </w:rPr>
              <w:t>查</w:t>
            </w:r>
            <w:r>
              <w:rPr>
                <w:rFonts w:eastAsia="標楷體" w:hAnsi="標楷體" w:hint="eastAsia"/>
                <w:sz w:val="28"/>
                <w:szCs w:val="28"/>
              </w:rPr>
              <w:t>及</w:t>
            </w:r>
            <w:r w:rsidR="00DB2371">
              <w:rPr>
                <w:rFonts w:eastAsia="標楷體" w:hAnsi="標楷體" w:hint="eastAsia"/>
                <w:sz w:val="28"/>
                <w:szCs w:val="28"/>
              </w:rPr>
              <w:t>國外港口檢查等國際性之查緝工作，此外，</w:t>
            </w:r>
            <w:r w:rsidRPr="00471635">
              <w:rPr>
                <w:rFonts w:eastAsia="標楷體" w:hAnsi="標楷體"/>
                <w:sz w:val="28"/>
                <w:szCs w:val="28"/>
              </w:rPr>
              <w:t>本年度</w:t>
            </w:r>
            <w:r w:rsidR="00DB2371">
              <w:rPr>
                <w:rFonts w:eastAsia="標楷體" w:hAnsi="標楷體" w:hint="eastAsia"/>
                <w:sz w:val="28"/>
                <w:szCs w:val="28"/>
              </w:rPr>
              <w:t>政府</w:t>
            </w:r>
            <w:r w:rsidRPr="00471635">
              <w:rPr>
                <w:rFonts w:eastAsia="標楷體" w:hAnsi="標楷體"/>
                <w:sz w:val="28"/>
                <w:szCs w:val="28"/>
              </w:rPr>
              <w:t>亦派遣巡護船赴大西洋執行</w:t>
            </w:r>
            <w:r w:rsidR="00753E5F">
              <w:rPr>
                <w:rFonts w:eastAsia="標楷體" w:hAnsi="標楷體" w:hint="eastAsia"/>
                <w:sz w:val="28"/>
                <w:szCs w:val="28"/>
              </w:rPr>
              <w:t>32</w:t>
            </w:r>
            <w:r w:rsidR="00753E5F">
              <w:rPr>
                <w:rFonts w:eastAsia="標楷體" w:hAnsi="標楷體" w:hint="eastAsia"/>
                <w:sz w:val="28"/>
                <w:szCs w:val="28"/>
              </w:rPr>
              <w:t>次公海</w:t>
            </w:r>
            <w:r w:rsidRPr="00471635">
              <w:rPr>
                <w:rFonts w:eastAsia="標楷體" w:hAnsi="標楷體"/>
                <w:sz w:val="28"/>
                <w:szCs w:val="28"/>
              </w:rPr>
              <w:t>登檢</w:t>
            </w:r>
            <w:r w:rsidR="00753E5F">
              <w:rPr>
                <w:rFonts w:eastAsia="標楷體" w:hAnsi="標楷體" w:hint="eastAsia"/>
                <w:sz w:val="28"/>
                <w:szCs w:val="28"/>
              </w:rPr>
              <w:t>我作業漁船</w:t>
            </w:r>
            <w:r w:rsidRPr="00471635">
              <w:rPr>
                <w:rFonts w:eastAsia="標楷體" w:hAnsi="標楷體"/>
                <w:sz w:val="28"/>
                <w:szCs w:val="28"/>
              </w:rPr>
              <w:t>任務</w:t>
            </w:r>
            <w:r w:rsidR="00DB2371">
              <w:rPr>
                <w:rFonts w:eastAsia="標楷體" w:hAnsi="標楷體" w:hint="eastAsia"/>
                <w:sz w:val="28"/>
                <w:szCs w:val="28"/>
              </w:rPr>
              <w:t>，並無查獲違規</w:t>
            </w:r>
            <w:r w:rsidRPr="00471635">
              <w:rPr>
                <w:rFonts w:eastAsia="標楷體" w:hAnsi="標楷體"/>
                <w:sz w:val="28"/>
                <w:szCs w:val="28"/>
              </w:rPr>
              <w:t>。</w:t>
            </w:r>
          </w:p>
          <w:p w14:paraId="3ACF72B7" w14:textId="77777777" w:rsidR="00890F8C" w:rsidRPr="00753E5F" w:rsidRDefault="00890F8C" w:rsidP="00471635">
            <w:pPr>
              <w:spacing w:line="480" w:lineRule="exact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</w:p>
          <w:p w14:paraId="4370AEF9" w14:textId="77777777" w:rsidR="008072BF" w:rsidRPr="00DF382F" w:rsidRDefault="00BA1534" w:rsidP="008072BF">
            <w:pPr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提早</w:t>
            </w:r>
            <w:r w:rsidR="008072BF">
              <w:rPr>
                <w:rFonts w:eastAsia="標楷體" w:hAnsi="標楷體" w:hint="eastAsia"/>
                <w:b/>
                <w:sz w:val="28"/>
                <w:szCs w:val="28"/>
              </w:rPr>
              <w:t>推動</w:t>
            </w:r>
            <w:r w:rsidR="008072BF">
              <w:rPr>
                <w:rFonts w:eastAsia="標楷體" w:hAnsi="標楷體"/>
                <w:b/>
                <w:sz w:val="28"/>
                <w:szCs w:val="28"/>
              </w:rPr>
              <w:t>「鯊魚鰭不離身」之</w:t>
            </w:r>
            <w:r w:rsidR="008072BF">
              <w:rPr>
                <w:rFonts w:eastAsia="標楷體" w:hAnsi="標楷體" w:hint="eastAsia"/>
                <w:b/>
                <w:sz w:val="28"/>
                <w:szCs w:val="28"/>
              </w:rPr>
              <w:t>措施，永續鯊魚資源利用</w:t>
            </w:r>
          </w:p>
          <w:p w14:paraId="54F54DCA" w14:textId="77777777" w:rsidR="00753E5F" w:rsidRDefault="008072BF" w:rsidP="008072BF">
            <w:pPr>
              <w:spacing w:line="480" w:lineRule="exact"/>
              <w:rPr>
                <w:rFonts w:eastAsia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台灣為全球鯊魚資源利用國家</w:t>
            </w:r>
            <w:r w:rsidR="00753E5F">
              <w:rPr>
                <w:rFonts w:eastAsia="標楷體" w:hAnsi="標楷體" w:hint="eastAsia"/>
                <w:sz w:val="28"/>
                <w:szCs w:val="28"/>
              </w:rPr>
              <w:t>之一</w:t>
            </w:r>
            <w:r>
              <w:rPr>
                <w:rFonts w:eastAsia="標楷體" w:hAnsi="標楷體" w:hint="eastAsia"/>
                <w:sz w:val="28"/>
                <w:szCs w:val="28"/>
              </w:rPr>
              <w:t>，為確保鯊魚資源之永續使用，我國</w:t>
            </w:r>
            <w:r w:rsidR="00BA1534">
              <w:rPr>
                <w:rFonts w:eastAsia="標楷體" w:hAnsi="標楷體" w:hint="eastAsia"/>
                <w:sz w:val="28"/>
                <w:szCs w:val="28"/>
              </w:rPr>
              <w:t>已規劃較</w:t>
            </w:r>
            <w:r w:rsidR="00BA153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國際漁業管理組織提早</w:t>
            </w:r>
            <w:r>
              <w:rPr>
                <w:rFonts w:eastAsia="標楷體" w:hAnsi="標楷體" w:hint="eastAsia"/>
                <w:sz w:val="28"/>
                <w:szCs w:val="28"/>
              </w:rPr>
              <w:t>推動實施</w:t>
            </w:r>
            <w:r w:rsidRPr="00DF382F">
              <w:rPr>
                <w:rFonts w:eastAsia="標楷體" w:hAnsi="標楷體"/>
                <w:sz w:val="28"/>
                <w:szCs w:val="28"/>
              </w:rPr>
              <w:t>「鯊魚鰭不離身」</w:t>
            </w:r>
            <w:r>
              <w:rPr>
                <w:rFonts w:eastAsia="標楷體" w:hAnsi="標楷體" w:hint="eastAsia"/>
                <w:sz w:val="28"/>
                <w:szCs w:val="28"/>
              </w:rPr>
              <w:t>措施，於</w:t>
            </w:r>
            <w:r>
              <w:rPr>
                <w:rFonts w:eastAsia="標楷體" w:hAnsi="標楷體" w:hint="eastAsia"/>
                <w:sz w:val="28"/>
                <w:szCs w:val="28"/>
              </w:rPr>
              <w:t>2012</w:t>
            </w:r>
            <w:r>
              <w:rPr>
                <w:rFonts w:eastAsia="標楷體" w:hAnsi="標楷體" w:hint="eastAsia"/>
                <w:sz w:val="28"/>
                <w:szCs w:val="28"/>
              </w:rPr>
              <w:t>年起逐步實施</w:t>
            </w:r>
            <w:r w:rsidR="00753E5F">
              <w:rPr>
                <w:rFonts w:eastAsia="標楷體" w:hAnsi="標楷體" w:hint="eastAsia"/>
                <w:sz w:val="28"/>
                <w:szCs w:val="28"/>
              </w:rPr>
              <w:t>。</w:t>
            </w:r>
            <w:r>
              <w:rPr>
                <w:rFonts w:eastAsia="標楷體" w:hAnsi="標楷體" w:hint="eastAsia"/>
                <w:sz w:val="28"/>
                <w:szCs w:val="28"/>
              </w:rPr>
              <w:t>另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該措施</w:t>
            </w:r>
            <w:r w:rsidR="00FF67D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固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尚未</w:t>
            </w:r>
            <w:r w:rsidR="0078083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正式執行，</w:t>
            </w:r>
            <w:r w:rsidR="00FF67D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但</w:t>
            </w:r>
            <w:r w:rsidR="0078083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已有部分漁船</w:t>
            </w:r>
            <w:r w:rsidR="00753E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在政府輔導下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開始採行該措施，</w:t>
            </w:r>
            <w:r w:rsidR="00753E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包括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以魚鰭綑附魚身</w:t>
            </w:r>
            <w:r w:rsidR="00753E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在內的不同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方式卸</w:t>
            </w:r>
            <w:r w:rsidR="0078083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載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魚貨</w:t>
            </w:r>
            <w:r w:rsidR="00753E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61B61539" w14:textId="77777777" w:rsidR="008072BF" w:rsidRDefault="00753E5F" w:rsidP="00753E5F">
            <w:pPr>
              <w:spacing w:line="480" w:lineRule="exact"/>
              <w:ind w:firstLineChars="200" w:firstLine="560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農委會最後表示：</w:t>
            </w:r>
            <w:r w:rsidR="008072B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政府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為達</w:t>
            </w:r>
            <w:r w:rsidR="008072B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鯊魚資源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永續利用</w:t>
            </w:r>
            <w:r w:rsidR="008072B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目標，將持續推動鯊魚資源之養護與管理工作</w:t>
            </w:r>
            <w:r w:rsidR="008072BF">
              <w:rPr>
                <w:rFonts w:eastAsia="標楷體" w:hAnsi="標楷體" w:hint="eastAsia"/>
                <w:sz w:val="28"/>
                <w:szCs w:val="28"/>
              </w:rPr>
              <w:t>。</w:t>
            </w:r>
            <w:r>
              <w:rPr>
                <w:rFonts w:eastAsia="標楷體" w:hAnsi="標楷體" w:hint="eastAsia"/>
                <w:sz w:val="28"/>
                <w:szCs w:val="28"/>
              </w:rPr>
              <w:t>並定時檢討鯊魚國家行動方案及執行</w:t>
            </w:r>
            <w:r w:rsidR="009F7827" w:rsidRPr="008F335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RFMOs</w:t>
            </w:r>
            <w:r w:rsidR="009F782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之最新規定，以與國際鯊魚保育趨勢接軌。</w:t>
            </w:r>
          </w:p>
          <w:p w14:paraId="2159198E" w14:textId="77777777" w:rsidR="008072BF" w:rsidRDefault="008072BF" w:rsidP="008072BF">
            <w:pPr>
              <w:spacing w:line="400" w:lineRule="exact"/>
              <w:ind w:firstLineChars="200" w:firstLine="560"/>
              <w:rPr>
                <w:rFonts w:eastAsia="標楷體" w:hint="eastAsia"/>
                <w:color w:val="000000"/>
                <w:sz w:val="28"/>
              </w:rPr>
            </w:pPr>
          </w:p>
          <w:p w14:paraId="72361B00" w14:textId="77777777" w:rsidR="008072BF" w:rsidRPr="00CB44E2" w:rsidRDefault="008072BF" w:rsidP="008072BF">
            <w:pPr>
              <w:spacing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</w:rPr>
            </w:pPr>
            <w:r w:rsidRPr="00CB44E2">
              <w:rPr>
                <w:rFonts w:eastAsia="標楷體" w:hint="eastAsia"/>
                <w:color w:val="000000"/>
                <w:sz w:val="28"/>
              </w:rPr>
              <w:t>聯絡人：</w:t>
            </w:r>
            <w:r>
              <w:rPr>
                <w:rFonts w:eastAsia="標楷體" w:hint="eastAsia"/>
                <w:color w:val="000000"/>
                <w:sz w:val="28"/>
              </w:rPr>
              <w:t>漁業署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FF67D0">
              <w:rPr>
                <w:rFonts w:eastAsia="標楷體" w:hint="eastAsia"/>
                <w:color w:val="000000"/>
                <w:sz w:val="28"/>
              </w:rPr>
              <w:t>副署長</w:t>
            </w:r>
            <w:r>
              <w:rPr>
                <w:rFonts w:eastAsia="標楷體" w:hint="eastAsia"/>
                <w:color w:val="000000"/>
                <w:sz w:val="28"/>
              </w:rPr>
              <w:t>蔡日耀</w:t>
            </w:r>
          </w:p>
          <w:p w14:paraId="20B6B49B" w14:textId="77777777" w:rsidR="00C8562C" w:rsidRDefault="008072BF" w:rsidP="008072BF">
            <w:pPr>
              <w:spacing w:line="480" w:lineRule="exact"/>
              <w:ind w:firstLineChars="200" w:firstLine="56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091C">
              <w:rPr>
                <w:rFonts w:ascii="Arial" w:eastAsia="標楷體" w:cs="Arial"/>
                <w:color w:val="000000"/>
                <w:sz w:val="28"/>
              </w:rPr>
              <w:t>電　話：</w:t>
            </w:r>
            <w:r w:rsidRPr="00B60F44">
              <w:rPr>
                <w:rFonts w:eastAsia="標楷體"/>
                <w:color w:val="000000"/>
                <w:sz w:val="28"/>
                <w:szCs w:val="28"/>
              </w:rPr>
              <w:t>02-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33436011</w:t>
            </w:r>
          </w:p>
          <w:p w14:paraId="1C3B5D7A" w14:textId="77777777" w:rsidR="00F356B8" w:rsidRPr="00201A94" w:rsidRDefault="00F356B8" w:rsidP="008072BF">
            <w:pPr>
              <w:spacing w:line="48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機：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0935740249</w:t>
            </w:r>
          </w:p>
        </w:tc>
      </w:tr>
    </w:tbl>
    <w:p w14:paraId="70A8AFA2" w14:textId="77777777" w:rsidR="00BE1172" w:rsidRDefault="00BE1172" w:rsidP="00C8562C">
      <w:pPr>
        <w:rPr>
          <w:rFonts w:ascii="Arial" w:eastAsia="標楷體" w:hAnsi="Arial" w:cs="Arial"/>
          <w:color w:val="000000"/>
          <w:sz w:val="28"/>
          <w:szCs w:val="28"/>
        </w:rPr>
      </w:pPr>
    </w:p>
    <w:p w14:paraId="1266BC29" w14:textId="77777777" w:rsidR="009B51DF" w:rsidRDefault="00BE1172" w:rsidP="00C8562C">
      <w:pPr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/>
          <w:color w:val="000000"/>
          <w:sz w:val="28"/>
          <w:szCs w:val="28"/>
        </w:rPr>
        <w:br w:type="page"/>
      </w:r>
      <w:r w:rsidR="009B51DF">
        <w:rPr>
          <w:rFonts w:ascii="Arial" w:eastAsia="標楷體" w:hAnsi="Arial" w:cs="Arial"/>
          <w:color w:val="000000"/>
          <w:sz w:val="28"/>
          <w:szCs w:val="28"/>
        </w:rPr>
        <w:lastRenderedPageBreak/>
        <w:t xml:space="preserve"> </w:t>
      </w:r>
    </w:p>
    <w:tbl>
      <w:tblPr>
        <w:tblW w:w="9300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6590"/>
        <w:gridCol w:w="1635"/>
      </w:tblGrid>
      <w:tr w:rsidR="009B51DF" w:rsidRPr="009B51DF" w14:paraId="4E450D7E" w14:textId="77777777" w:rsidTr="009B51DF">
        <w:trPr>
          <w:trHeight w:val="330"/>
        </w:trPr>
        <w:tc>
          <w:tcPr>
            <w:tcW w:w="9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D305D" w14:textId="77777777" w:rsidR="009B51DF" w:rsidRPr="009B51DF" w:rsidRDefault="009B51DF" w:rsidP="009B51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臺灣禁捕鯊魚種類一覽表</w:t>
            </w:r>
          </w:p>
        </w:tc>
      </w:tr>
      <w:tr w:rsidR="009B51DF" w:rsidRPr="009B51DF" w14:paraId="24F835FD" w14:textId="77777777" w:rsidTr="009B51DF">
        <w:trPr>
          <w:trHeight w:val="4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6CF8" w14:textId="77777777" w:rsidR="009B51DF" w:rsidRPr="009B51DF" w:rsidRDefault="009B51DF" w:rsidP="009B51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洋區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49E6" w14:textId="77777777" w:rsidR="009B51DF" w:rsidRPr="009B51DF" w:rsidRDefault="009B51DF" w:rsidP="009B51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禁捕鯊魚種類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D44B" w14:textId="77777777" w:rsidR="009B51DF" w:rsidRPr="009B51DF" w:rsidRDefault="009B51DF" w:rsidP="009B51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備</w:t>
            </w:r>
            <w:r w:rsidR="006D6EBD">
              <w:rPr>
                <w:rFonts w:ascii="標楷體" w:eastAsia="標楷體" w:hAnsi="標楷體" w:cs="新細明體" w:hint="eastAsia"/>
                <w:color w:val="000000"/>
                <w:kern w:val="0"/>
              </w:rPr>
              <w:t>註</w:t>
            </w:r>
          </w:p>
        </w:tc>
      </w:tr>
      <w:tr w:rsidR="009B51DF" w:rsidRPr="009B51DF" w14:paraId="6B164B20" w14:textId="77777777" w:rsidTr="009B51DF">
        <w:trPr>
          <w:trHeight w:val="52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DE3C" w14:textId="77777777" w:rsidR="009B51DF" w:rsidRPr="009B51DF" w:rsidRDefault="009B51DF" w:rsidP="009B51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三大洋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8DE5" w14:textId="77777777" w:rsidR="009B51DF" w:rsidRPr="009B51DF" w:rsidRDefault="009B51DF" w:rsidP="009B51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鯨鯊 (whale shark)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6BD2" w14:textId="77777777" w:rsidR="009B51DF" w:rsidRPr="009B51DF" w:rsidRDefault="009B51DF" w:rsidP="009B51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臺灣自發性</w:t>
            </w:r>
          </w:p>
        </w:tc>
      </w:tr>
      <w:tr w:rsidR="009B51DF" w:rsidRPr="009B51DF" w14:paraId="32210893" w14:textId="77777777" w:rsidTr="009B51DF">
        <w:trPr>
          <w:trHeight w:val="705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03C9" w14:textId="77777777" w:rsidR="009B51DF" w:rsidRPr="009B51DF" w:rsidRDefault="009B51DF" w:rsidP="009B51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大西洋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704EC" w14:textId="77777777" w:rsidR="009B51DF" w:rsidRPr="009B51DF" w:rsidRDefault="009B51DF" w:rsidP="009B51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(1)</w:t>
            </w: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 xml:space="preserve">   </w:t>
            </w: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狐鮫類【包括深海狐鮫(bigeye thresher)、淺海狐鮫</w:t>
            </w: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       (pelagic thresher)及狐鮫(common thresher)】。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48F7A" w14:textId="77777777" w:rsidR="009B51DF" w:rsidRPr="009B51DF" w:rsidRDefault="009B51DF" w:rsidP="009B51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配合大西洋鮪類資源保育委員會(ICCAT)之養護管理措施</w:t>
            </w:r>
          </w:p>
        </w:tc>
      </w:tr>
      <w:tr w:rsidR="009B51DF" w:rsidRPr="009B51DF" w14:paraId="14ECBE2F" w14:textId="77777777" w:rsidTr="009B51DF">
        <w:trPr>
          <w:trHeight w:val="1395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2AD4B" w14:textId="77777777" w:rsidR="009B51DF" w:rsidRPr="009B51DF" w:rsidRDefault="009B51DF" w:rsidP="009B51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EF16F" w14:textId="77777777" w:rsidR="009B51DF" w:rsidRPr="009B51DF" w:rsidRDefault="009B51DF" w:rsidP="009B51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(2)  ㄚ髻鮫類【包括紅肉ㄚ髻鮫(scalloped  hammerh</w:t>
            </w:r>
            <w:r w:rsidR="001A1597">
              <w:rPr>
                <w:rFonts w:ascii="標楷體" w:eastAsia="標楷體" w:hAnsi="標楷體" w:cs="新細明體" w:hint="eastAsia"/>
                <w:color w:val="000000"/>
                <w:kern w:val="0"/>
              </w:rPr>
              <w:t>ea</w:t>
            </w: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d)、</w:t>
            </w: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       ㄚ髻鮫(smooth hammerh</w:t>
            </w:r>
            <w:r w:rsidR="001A1597">
              <w:rPr>
                <w:rFonts w:ascii="標楷體" w:eastAsia="標楷體" w:hAnsi="標楷體" w:cs="新細明體" w:hint="eastAsia"/>
                <w:color w:val="000000"/>
                <w:kern w:val="0"/>
              </w:rPr>
              <w:t>ea</w:t>
            </w: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d)及八鰭ㄚ髻鮫(great </w:t>
            </w: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        hammerh</w:t>
            </w:r>
            <w:r w:rsidR="001A1597">
              <w:rPr>
                <w:rFonts w:ascii="標楷體" w:eastAsia="標楷體" w:hAnsi="標楷體" w:cs="新細明體" w:hint="eastAsia"/>
                <w:color w:val="000000"/>
                <w:kern w:val="0"/>
              </w:rPr>
              <w:t>ea</w:t>
            </w: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d)等各類ㄚ</w:t>
            </w:r>
            <w:r w:rsidR="006D6EBD"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髻</w:t>
            </w: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鮫類】。  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110B56" w14:textId="77777777" w:rsidR="009B51DF" w:rsidRPr="009B51DF" w:rsidRDefault="009B51DF" w:rsidP="009B51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B51DF" w:rsidRPr="009B51DF" w14:paraId="33FDDD2D" w14:textId="77777777" w:rsidTr="009B51DF">
        <w:trPr>
          <w:trHeight w:val="49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BFAE" w14:textId="77777777" w:rsidR="009B51DF" w:rsidRPr="009B51DF" w:rsidRDefault="009B51DF" w:rsidP="009B51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4F4D" w14:textId="77777777" w:rsidR="009B51DF" w:rsidRPr="009B51DF" w:rsidRDefault="009B51DF" w:rsidP="009B51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(3)</w:t>
            </w: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 xml:space="preserve">   </w:t>
            </w: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污斑白眼鮫( oceanic whitetip shark)。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515B1" w14:textId="77777777" w:rsidR="009B51DF" w:rsidRPr="009B51DF" w:rsidRDefault="009B51DF" w:rsidP="009B51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B51DF" w:rsidRPr="009B51DF" w14:paraId="6E14E7F8" w14:textId="77777777" w:rsidTr="009B51DF">
        <w:trPr>
          <w:trHeight w:val="165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D1D4" w14:textId="77777777" w:rsidR="009B51DF" w:rsidRPr="009B51DF" w:rsidRDefault="009B51DF" w:rsidP="009B51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印度洋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7A9E" w14:textId="77777777" w:rsidR="009B51DF" w:rsidRPr="009B51DF" w:rsidRDefault="009B51DF" w:rsidP="009B51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狐鮫類【深海狐鮫(bigeye thresher)、淺海狐鮫(pelagic thresher)及狐鮫(common thresher)】。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FFFA" w14:textId="77777777" w:rsidR="009B51DF" w:rsidRPr="009B51DF" w:rsidRDefault="009B51DF" w:rsidP="009B51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1DF">
              <w:rPr>
                <w:rFonts w:ascii="標楷體" w:eastAsia="標楷體" w:hAnsi="標楷體" w:cs="新細明體" w:hint="eastAsia"/>
                <w:color w:val="000000"/>
                <w:kern w:val="0"/>
              </w:rPr>
              <w:t>配合印度洋鮪類委員會(IOTC)之養護管理措施</w:t>
            </w:r>
          </w:p>
        </w:tc>
      </w:tr>
    </w:tbl>
    <w:p w14:paraId="3314003E" w14:textId="77777777" w:rsidR="00E3128A" w:rsidRPr="00EB091C" w:rsidRDefault="00E3128A" w:rsidP="00C8562C">
      <w:pPr>
        <w:rPr>
          <w:rFonts w:ascii="Arial" w:eastAsia="標楷體" w:hAnsi="Arial" w:cs="Arial" w:hint="eastAsia"/>
          <w:color w:val="000000"/>
          <w:sz w:val="28"/>
          <w:szCs w:val="28"/>
        </w:rPr>
      </w:pPr>
    </w:p>
    <w:sectPr w:rsidR="00E3128A" w:rsidRPr="00EB091C" w:rsidSect="004B0619">
      <w:headerReference w:type="default" r:id="rId6"/>
      <w:footerReference w:type="default" r:id="rId7"/>
      <w:pgSz w:w="11906" w:h="16838"/>
      <w:pgMar w:top="1418" w:right="1418" w:bottom="719" w:left="1418" w:header="851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E9EE" w14:textId="77777777" w:rsidR="00293DE5" w:rsidRDefault="00293DE5">
      <w:r>
        <w:separator/>
      </w:r>
    </w:p>
  </w:endnote>
  <w:endnote w:type="continuationSeparator" w:id="0">
    <w:p w14:paraId="5046A203" w14:textId="77777777" w:rsidR="00293DE5" w:rsidRDefault="0029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ED13" w14:textId="77777777" w:rsidR="007E644B" w:rsidRDefault="007E644B">
    <w:pPr>
      <w:pStyle w:val="a5"/>
      <w:jc w:val="center"/>
      <w:rPr>
        <w:rFonts w:ascii="標楷體" w:eastAsia="標楷體" w:hAnsi="標楷體"/>
      </w:rPr>
    </w:pPr>
    <w:r>
      <w:fldChar w:fldCharType="begin"/>
    </w:r>
    <w:r>
      <w:instrText xml:space="preserve"> PAGE   \* MERGEFORMAT </w:instrText>
    </w:r>
    <w:r>
      <w:fldChar w:fldCharType="separate"/>
    </w:r>
    <w:r w:rsidR="001A1597" w:rsidRPr="001A1597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6838" w14:textId="77777777" w:rsidR="00293DE5" w:rsidRDefault="00293DE5">
      <w:r>
        <w:separator/>
      </w:r>
    </w:p>
  </w:footnote>
  <w:footnote w:type="continuationSeparator" w:id="0">
    <w:p w14:paraId="203EF90C" w14:textId="77777777" w:rsidR="00293DE5" w:rsidRDefault="0029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34CB" w14:textId="7AFD5444" w:rsidR="007E644B" w:rsidRDefault="00D53454" w:rsidP="00BB3299">
    <w:pPr>
      <w:pStyle w:val="a4"/>
      <w:ind w:firstLineChars="600" w:firstLine="120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8BDEF30" wp14:editId="6ECAF3F1">
              <wp:simplePos x="0" y="0"/>
              <wp:positionH relativeFrom="column">
                <wp:posOffset>2514600</wp:posOffset>
              </wp:positionH>
              <wp:positionV relativeFrom="paragraph">
                <wp:posOffset>109220</wp:posOffset>
              </wp:positionV>
              <wp:extent cx="2171700" cy="1028700"/>
              <wp:effectExtent l="0" t="4445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71700" cy="1028700"/>
                        <a:chOff x="5558" y="1958"/>
                        <a:chExt cx="3420" cy="162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58" y="1958"/>
                          <a:ext cx="34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DC600" w14:textId="77777777" w:rsidR="007E644B" w:rsidRDefault="007E644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7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6"/>
                              </w:rPr>
                              <w:t>新聞資料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738" y="2858"/>
                          <a:ext cx="306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D790B" w14:textId="77777777" w:rsidR="007E644B" w:rsidRDefault="007E644B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4"/>
                                <w:sz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4"/>
                                <w:sz w:val="30"/>
                              </w:rPr>
                              <w:t>行政院農業委員會</w:t>
                            </w:r>
                          </w:p>
                          <w:p w14:paraId="7789894A" w14:textId="77777777" w:rsidR="007E644B" w:rsidRDefault="007E644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台北市南海路</w:t>
                            </w:r>
                            <w:r>
                              <w:rPr>
                                <w:rFonts w:eastAsia="標楷體" w:hint="eastAsia"/>
                              </w:rPr>
                              <w:t>37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DEF30" id="Group 1" o:spid="_x0000_s1026" style="position:absolute;left:0;text-align:left;margin-left:198pt;margin-top:8.6pt;width:171pt;height:81pt;z-index:251657728" coordorigin="5558,1958" coordsize="34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558;top:1958;width:34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dFwgAAANoAAAAPAAAAZHJzL2Rvd25yZXYueG1sRI/dagIx&#10;FITvC75DOIJ33awK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Ac+TdFwgAAANoAAAAPAAAA&#10;AAAAAAAAAAAAAAcCAABkcnMvZG93bnJldi54bWxQSwUGAAAAAAMAAwC3AAAA9gIAAAAA&#10;" filled="f" stroked="f">
                <v:textbox inset=",0,,0">
                  <w:txbxContent>
                    <w:p w14:paraId="498DC600" w14:textId="77777777" w:rsidR="007E644B" w:rsidRDefault="007E644B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7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76"/>
                        </w:rPr>
                        <w:t>新聞資料</w:t>
                      </w:r>
                    </w:p>
                  </w:txbxContent>
                </v:textbox>
              </v:shape>
              <v:shape id="Text Box 3" o:spid="_x0000_s1028" type="#_x0000_t202" style="position:absolute;left:5738;top:2858;width:30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8xwgAAANoAAAAPAAAAZHJzL2Rvd25yZXYueG1sRI/dagIx&#10;FITvC75DOIJ33awi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CTEK8xwgAAANoAAAAPAAAA&#10;AAAAAAAAAAAAAAcCAABkcnMvZG93bnJldi54bWxQSwUGAAAAAAMAAwC3AAAA9gIAAAAA&#10;" filled="f" stroked="f">
                <v:textbox inset=",0,,0">
                  <w:txbxContent>
                    <w:p w14:paraId="7C2D790B" w14:textId="77777777" w:rsidR="007E644B" w:rsidRDefault="007E644B">
                      <w:pPr>
                        <w:jc w:val="center"/>
                        <w:rPr>
                          <w:rFonts w:ascii="標楷體" w:eastAsia="標楷體" w:hAnsi="標楷體"/>
                          <w:spacing w:val="4"/>
                          <w:sz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4"/>
                          <w:sz w:val="30"/>
                        </w:rPr>
                        <w:t>行政院農業委員會</w:t>
                      </w:r>
                    </w:p>
                    <w:p w14:paraId="7789894A" w14:textId="77777777" w:rsidR="007E644B" w:rsidRDefault="007E644B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台北市南海路</w:t>
                      </w:r>
                      <w:r>
                        <w:rPr>
                          <w:rFonts w:eastAsia="標楷體" w:hint="eastAsia"/>
                        </w:rPr>
                        <w:t>37</w:t>
                      </w:r>
                      <w:r>
                        <w:rPr>
                          <w:rFonts w:ascii="標楷體" w:eastAsia="標楷體" w:hAnsi="標楷體" w:hint="eastAsia"/>
                        </w:rPr>
                        <w:t>號</w:t>
                      </w:r>
                    </w:p>
                  </w:txbxContent>
                </v:textbox>
              </v:shape>
            </v:group>
          </w:pict>
        </mc:Fallback>
      </mc:AlternateContent>
    </w:r>
    <w:r w:rsidR="007E644B">
      <w:rPr>
        <w:rFonts w:hint="eastAsia"/>
      </w:rPr>
      <w:t xml:space="preserve"> </w:t>
    </w:r>
    <w:r>
      <w:rPr>
        <w:noProof/>
      </w:rPr>
      <w:drawing>
        <wp:inline distT="0" distB="0" distL="0" distR="0" wp14:anchorId="5F7E5AAC" wp14:editId="78D6EC08">
          <wp:extent cx="1289050" cy="11747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21150" w14:textId="77777777" w:rsidR="007E644B" w:rsidRDefault="007E644B" w:rsidP="00BB3299">
    <w:pPr>
      <w:pStyle w:val="a4"/>
      <w:ind w:firstLineChars="600" w:firstLine="1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8A"/>
    <w:rsid w:val="00000F6F"/>
    <w:rsid w:val="000035C6"/>
    <w:rsid w:val="00040469"/>
    <w:rsid w:val="000405B1"/>
    <w:rsid w:val="000539C1"/>
    <w:rsid w:val="0006320E"/>
    <w:rsid w:val="00076F56"/>
    <w:rsid w:val="000D232D"/>
    <w:rsid w:val="000F5CFD"/>
    <w:rsid w:val="001043CA"/>
    <w:rsid w:val="00111E74"/>
    <w:rsid w:val="001207E7"/>
    <w:rsid w:val="001246A0"/>
    <w:rsid w:val="00132D82"/>
    <w:rsid w:val="001373A3"/>
    <w:rsid w:val="00140D11"/>
    <w:rsid w:val="00142DBC"/>
    <w:rsid w:val="0015105A"/>
    <w:rsid w:val="00163583"/>
    <w:rsid w:val="00164A1A"/>
    <w:rsid w:val="001722C2"/>
    <w:rsid w:val="00181332"/>
    <w:rsid w:val="00187853"/>
    <w:rsid w:val="00196B1D"/>
    <w:rsid w:val="001A1597"/>
    <w:rsid w:val="001E701C"/>
    <w:rsid w:val="00201A94"/>
    <w:rsid w:val="002037F0"/>
    <w:rsid w:val="0020460E"/>
    <w:rsid w:val="00211430"/>
    <w:rsid w:val="0022392C"/>
    <w:rsid w:val="00223C16"/>
    <w:rsid w:val="00224548"/>
    <w:rsid w:val="00226795"/>
    <w:rsid w:val="002312A2"/>
    <w:rsid w:val="00236D71"/>
    <w:rsid w:val="002505DF"/>
    <w:rsid w:val="00264B4F"/>
    <w:rsid w:val="00267879"/>
    <w:rsid w:val="00293DE5"/>
    <w:rsid w:val="002A62A1"/>
    <w:rsid w:val="002C02CE"/>
    <w:rsid w:val="002C0330"/>
    <w:rsid w:val="002D134F"/>
    <w:rsid w:val="002E3AF3"/>
    <w:rsid w:val="002E4510"/>
    <w:rsid w:val="002E6794"/>
    <w:rsid w:val="002F78FF"/>
    <w:rsid w:val="003073B7"/>
    <w:rsid w:val="00310236"/>
    <w:rsid w:val="00316B8C"/>
    <w:rsid w:val="00335282"/>
    <w:rsid w:val="00350E7C"/>
    <w:rsid w:val="00371044"/>
    <w:rsid w:val="0038175B"/>
    <w:rsid w:val="00395FB2"/>
    <w:rsid w:val="003A3E91"/>
    <w:rsid w:val="003A41A0"/>
    <w:rsid w:val="003C0495"/>
    <w:rsid w:val="003E28D4"/>
    <w:rsid w:val="00411D28"/>
    <w:rsid w:val="004127CD"/>
    <w:rsid w:val="00415792"/>
    <w:rsid w:val="004212DE"/>
    <w:rsid w:val="004216F1"/>
    <w:rsid w:val="00423647"/>
    <w:rsid w:val="00425276"/>
    <w:rsid w:val="00433B29"/>
    <w:rsid w:val="004342F2"/>
    <w:rsid w:val="0044667A"/>
    <w:rsid w:val="004536CF"/>
    <w:rsid w:val="00454D50"/>
    <w:rsid w:val="00471635"/>
    <w:rsid w:val="004B0619"/>
    <w:rsid w:val="004C35CA"/>
    <w:rsid w:val="00502B4C"/>
    <w:rsid w:val="00502C3A"/>
    <w:rsid w:val="0050653A"/>
    <w:rsid w:val="00520460"/>
    <w:rsid w:val="0054295C"/>
    <w:rsid w:val="00551195"/>
    <w:rsid w:val="005706F3"/>
    <w:rsid w:val="005877DC"/>
    <w:rsid w:val="0059071D"/>
    <w:rsid w:val="005D1A6C"/>
    <w:rsid w:val="005E0FA9"/>
    <w:rsid w:val="005F5158"/>
    <w:rsid w:val="00623E84"/>
    <w:rsid w:val="006474B6"/>
    <w:rsid w:val="0069338C"/>
    <w:rsid w:val="00693EF0"/>
    <w:rsid w:val="006A087E"/>
    <w:rsid w:val="006B2BF7"/>
    <w:rsid w:val="006B35A7"/>
    <w:rsid w:val="006B67D6"/>
    <w:rsid w:val="006D31D5"/>
    <w:rsid w:val="006D610A"/>
    <w:rsid w:val="006D6EBD"/>
    <w:rsid w:val="006E179C"/>
    <w:rsid w:val="006F1CFB"/>
    <w:rsid w:val="006F1DF2"/>
    <w:rsid w:val="0071723D"/>
    <w:rsid w:val="00733F13"/>
    <w:rsid w:val="00737C6E"/>
    <w:rsid w:val="00753E5F"/>
    <w:rsid w:val="00755375"/>
    <w:rsid w:val="007559EC"/>
    <w:rsid w:val="00766582"/>
    <w:rsid w:val="00772E7E"/>
    <w:rsid w:val="00780831"/>
    <w:rsid w:val="007B6E4A"/>
    <w:rsid w:val="007E644B"/>
    <w:rsid w:val="00804DB0"/>
    <w:rsid w:val="008072BF"/>
    <w:rsid w:val="00821558"/>
    <w:rsid w:val="008251B7"/>
    <w:rsid w:val="00843C59"/>
    <w:rsid w:val="00847499"/>
    <w:rsid w:val="00863B2A"/>
    <w:rsid w:val="00872D37"/>
    <w:rsid w:val="008778F2"/>
    <w:rsid w:val="00880419"/>
    <w:rsid w:val="00890F8C"/>
    <w:rsid w:val="00893266"/>
    <w:rsid w:val="00894BCC"/>
    <w:rsid w:val="008A11B9"/>
    <w:rsid w:val="008C2EF5"/>
    <w:rsid w:val="008E0633"/>
    <w:rsid w:val="008F335F"/>
    <w:rsid w:val="008F516E"/>
    <w:rsid w:val="008F6F62"/>
    <w:rsid w:val="008F7C69"/>
    <w:rsid w:val="0092645A"/>
    <w:rsid w:val="00944508"/>
    <w:rsid w:val="00951125"/>
    <w:rsid w:val="00973918"/>
    <w:rsid w:val="00981B64"/>
    <w:rsid w:val="009902B4"/>
    <w:rsid w:val="009A2927"/>
    <w:rsid w:val="009B1166"/>
    <w:rsid w:val="009B51DF"/>
    <w:rsid w:val="009D6300"/>
    <w:rsid w:val="009F7827"/>
    <w:rsid w:val="00A358DD"/>
    <w:rsid w:val="00A366CA"/>
    <w:rsid w:val="00A41CCB"/>
    <w:rsid w:val="00A5693F"/>
    <w:rsid w:val="00A62424"/>
    <w:rsid w:val="00A7163E"/>
    <w:rsid w:val="00A815E4"/>
    <w:rsid w:val="00A815E9"/>
    <w:rsid w:val="00A930DA"/>
    <w:rsid w:val="00A94FC1"/>
    <w:rsid w:val="00AA2478"/>
    <w:rsid w:val="00AB338F"/>
    <w:rsid w:val="00AB4BBE"/>
    <w:rsid w:val="00AB7B1B"/>
    <w:rsid w:val="00AC0E1D"/>
    <w:rsid w:val="00AD191C"/>
    <w:rsid w:val="00AE4B21"/>
    <w:rsid w:val="00B06C3E"/>
    <w:rsid w:val="00B13730"/>
    <w:rsid w:val="00B211D0"/>
    <w:rsid w:val="00B548DE"/>
    <w:rsid w:val="00B62158"/>
    <w:rsid w:val="00B87159"/>
    <w:rsid w:val="00B8784F"/>
    <w:rsid w:val="00B87AE6"/>
    <w:rsid w:val="00BA1534"/>
    <w:rsid w:val="00BB3299"/>
    <w:rsid w:val="00BB5688"/>
    <w:rsid w:val="00BD2447"/>
    <w:rsid w:val="00BE1172"/>
    <w:rsid w:val="00C3670B"/>
    <w:rsid w:val="00C402C1"/>
    <w:rsid w:val="00C53CF6"/>
    <w:rsid w:val="00C8562C"/>
    <w:rsid w:val="00C873CC"/>
    <w:rsid w:val="00CA42C8"/>
    <w:rsid w:val="00CB04AB"/>
    <w:rsid w:val="00CB44E2"/>
    <w:rsid w:val="00CB6E53"/>
    <w:rsid w:val="00CC5194"/>
    <w:rsid w:val="00CC5CF2"/>
    <w:rsid w:val="00D110D0"/>
    <w:rsid w:val="00D23945"/>
    <w:rsid w:val="00D47501"/>
    <w:rsid w:val="00D53454"/>
    <w:rsid w:val="00D55327"/>
    <w:rsid w:val="00D56D8E"/>
    <w:rsid w:val="00DA458D"/>
    <w:rsid w:val="00DB2371"/>
    <w:rsid w:val="00DD0F8B"/>
    <w:rsid w:val="00DD31F5"/>
    <w:rsid w:val="00DF24CC"/>
    <w:rsid w:val="00E27493"/>
    <w:rsid w:val="00E3128A"/>
    <w:rsid w:val="00E3464D"/>
    <w:rsid w:val="00E53100"/>
    <w:rsid w:val="00E60E41"/>
    <w:rsid w:val="00E641F5"/>
    <w:rsid w:val="00E74434"/>
    <w:rsid w:val="00E8756C"/>
    <w:rsid w:val="00EB091C"/>
    <w:rsid w:val="00EF2BDC"/>
    <w:rsid w:val="00F143A6"/>
    <w:rsid w:val="00F334F8"/>
    <w:rsid w:val="00F34233"/>
    <w:rsid w:val="00F356B8"/>
    <w:rsid w:val="00F35F04"/>
    <w:rsid w:val="00F43961"/>
    <w:rsid w:val="00F71EFC"/>
    <w:rsid w:val="00F75F84"/>
    <w:rsid w:val="00FA6841"/>
    <w:rsid w:val="00FE2934"/>
    <w:rsid w:val="00FF64F3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openxmlformats.org/markup-compatibility/2006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DC0E9"/>
  <w15:chartTrackingRefBased/>
  <w15:docId w15:val="{0E7D7AD5-8B90-41D8-94C3-47BA730F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42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0242AA"/>
    <w:rPr>
      <w:b/>
      <w:bCs/>
    </w:rPr>
  </w:style>
  <w:style w:type="paragraph" w:styleId="a4">
    <w:name w:val="header"/>
    <w:basedOn w:val="a"/>
    <w:rsid w:val="00024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24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0242AA"/>
  </w:style>
  <w:style w:type="table" w:styleId="a8">
    <w:name w:val="Table Grid"/>
    <w:basedOn w:val="a1"/>
    <w:rsid w:val="000242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3670B"/>
    <w:rPr>
      <w:rFonts w:ascii="Arial" w:hAnsi="Arial"/>
      <w:sz w:val="18"/>
      <w:szCs w:val="18"/>
    </w:rPr>
  </w:style>
  <w:style w:type="paragraph" w:styleId="aa">
    <w:name w:val="List Paragraph"/>
    <w:basedOn w:val="a"/>
    <w:qFormat/>
    <w:rsid w:val="00AB7B1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basedOn w:val="a0"/>
    <w:link w:val="a5"/>
    <w:uiPriority w:val="99"/>
    <w:rsid w:val="004236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Net School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號</dc:title>
  <dc:subject/>
  <dc:creator>leo</dc:creator>
  <cp:keywords/>
  <dc:description/>
  <cp:lastModifiedBy>Emma</cp:lastModifiedBy>
  <cp:revision>3</cp:revision>
  <cp:lastPrinted>2011-10-20T07:38:00Z</cp:lastPrinted>
  <dcterms:created xsi:type="dcterms:W3CDTF">2021-06-20T09:54:00Z</dcterms:created>
  <dcterms:modified xsi:type="dcterms:W3CDTF">2021-06-20T09:54:00Z</dcterms:modified>
</cp:coreProperties>
</file>