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附件十一"/>
    <w:p w14:paraId="56A586C0" w14:textId="77777777" w:rsidR="00560C68" w:rsidRPr="00560C68" w:rsidRDefault="00560C68" w:rsidP="00560C68">
      <w:pPr>
        <w:pStyle w:val="HTML"/>
        <w:snapToGrid w:val="0"/>
        <w:spacing w:before="30" w:line="460" w:lineRule="atLeast"/>
        <w:jc w:val="center"/>
        <w:rPr>
          <w:rFonts w:eastAsia="標楷體"/>
          <w:noProof/>
          <w:color w:val="000000"/>
          <w:sz w:val="40"/>
          <w:szCs w:val="40"/>
        </w:rPr>
      </w:pPr>
      <w:r w:rsidRPr="00560C68">
        <w:rPr>
          <w:rFonts w:eastAsia="標楷體"/>
          <w:noProof/>
          <w:color w:val="000000"/>
          <w:sz w:val="40"/>
          <w:szCs w:val="40"/>
        </w:rPr>
        <w:fldChar w:fldCharType="begin"/>
      </w:r>
      <w:r w:rsidRPr="00560C68">
        <w:rPr>
          <w:rFonts w:eastAsia="標楷體"/>
          <w:noProof/>
          <w:color w:val="000000"/>
          <w:sz w:val="40"/>
          <w:szCs w:val="40"/>
        </w:rPr>
        <w:instrText xml:space="preserve"> HYPERLINK  \l "</w:instrText>
      </w:r>
      <w:r w:rsidRPr="00560C68">
        <w:rPr>
          <w:rFonts w:eastAsia="標楷體"/>
          <w:noProof/>
          <w:color w:val="000000"/>
          <w:sz w:val="40"/>
          <w:szCs w:val="40"/>
        </w:rPr>
        <w:instrText>頁</w:instrText>
      </w:r>
      <w:r w:rsidRPr="00560C68">
        <w:rPr>
          <w:rFonts w:eastAsia="標楷體"/>
          <w:noProof/>
          <w:color w:val="000000"/>
          <w:sz w:val="40"/>
          <w:szCs w:val="40"/>
        </w:rPr>
        <w:instrText xml:space="preserve">3" </w:instrText>
      </w:r>
      <w:r w:rsidRPr="00560C68">
        <w:rPr>
          <w:rFonts w:eastAsia="標楷體"/>
          <w:noProof/>
          <w:color w:val="000000"/>
          <w:sz w:val="40"/>
          <w:szCs w:val="40"/>
        </w:rPr>
      </w:r>
      <w:r w:rsidRPr="00560C68">
        <w:rPr>
          <w:rFonts w:eastAsia="標楷體"/>
          <w:noProof/>
          <w:color w:val="000000"/>
          <w:sz w:val="40"/>
          <w:szCs w:val="40"/>
        </w:rPr>
        <w:fldChar w:fldCharType="separate"/>
      </w:r>
      <w:r w:rsidRPr="00560C68">
        <w:rPr>
          <w:rFonts w:eastAsia="標楷體"/>
          <w:noProof/>
          <w:color w:val="000000"/>
          <w:sz w:val="40"/>
          <w:szCs w:val="40"/>
        </w:rPr>
        <w:t>檢舉走私進口動植物及其產品獎勵辦法</w:t>
      </w:r>
      <w:r w:rsidRPr="00560C68">
        <w:rPr>
          <w:rFonts w:eastAsia="標楷體"/>
          <w:noProof/>
          <w:color w:val="000000"/>
          <w:sz w:val="40"/>
          <w:szCs w:val="40"/>
        </w:rPr>
        <w:fldChar w:fldCharType="end"/>
      </w:r>
    </w:p>
    <w:p w14:paraId="272F4E31" w14:textId="77777777" w:rsidR="00560C68" w:rsidRDefault="00560C68" w:rsidP="00560C68">
      <w:pPr>
        <w:pStyle w:val="HTML"/>
        <w:snapToGrid w:val="0"/>
        <w:spacing w:before="30" w:line="460" w:lineRule="atLeast"/>
        <w:jc w:val="center"/>
        <w:rPr>
          <w:rFonts w:eastAsia="標楷體" w:hint="eastAsia"/>
          <w:noProof/>
          <w:color w:val="000000"/>
          <w:sz w:val="40"/>
          <w:szCs w:val="40"/>
        </w:rPr>
      </w:pPr>
      <w:r w:rsidRPr="00560C68">
        <w:rPr>
          <w:rFonts w:eastAsia="標楷體" w:hint="eastAsia"/>
          <w:noProof/>
          <w:color w:val="000000"/>
          <w:sz w:val="40"/>
          <w:szCs w:val="40"/>
        </w:rPr>
        <w:t>第七條、第七條之ㄧ</w:t>
      </w:r>
      <w:r w:rsidR="00F75D49">
        <w:rPr>
          <w:rFonts w:eastAsia="標楷體" w:hint="eastAsia"/>
          <w:noProof/>
          <w:color w:val="000000"/>
          <w:sz w:val="40"/>
          <w:szCs w:val="40"/>
        </w:rPr>
        <w:t>、第九條之ㄧ</w:t>
      </w:r>
      <w:r w:rsidRPr="00560C68">
        <w:rPr>
          <w:rFonts w:eastAsia="標楷體" w:hint="eastAsia"/>
          <w:noProof/>
          <w:color w:val="000000"/>
          <w:sz w:val="40"/>
          <w:szCs w:val="40"/>
        </w:rPr>
        <w:t>修正草案總說明</w:t>
      </w:r>
    </w:p>
    <w:p w14:paraId="5CD76A7E" w14:textId="77777777" w:rsidR="00F75D49" w:rsidRPr="009338B9" w:rsidRDefault="00A57DB8" w:rsidP="00763F0D">
      <w:pPr>
        <w:tabs>
          <w:tab w:val="left" w:pos="360"/>
        </w:tabs>
        <w:autoSpaceDE w:val="0"/>
        <w:autoSpaceDN w:val="0"/>
        <w:adjustRightInd w:val="0"/>
        <w:spacing w:line="460" w:lineRule="exact"/>
        <w:ind w:left="6" w:firstLineChars="190" w:firstLine="532"/>
        <w:jc w:val="both"/>
        <w:rPr>
          <w:rFonts w:cs="標楷體" w:hint="eastAsia"/>
          <w:kern w:val="0"/>
          <w:sz w:val="28"/>
          <w:szCs w:val="28"/>
          <w:lang w:val="zh-TW"/>
        </w:rPr>
      </w:pPr>
      <w:hyperlink w:anchor="頁3" w:history="1">
        <w:r w:rsidRPr="009338B9">
          <w:rPr>
            <w:sz w:val="28"/>
            <w:szCs w:val="28"/>
          </w:rPr>
          <w:t>檢舉走私進口動植物及其產品獎勵辦法</w:t>
        </w:r>
      </w:hyperlink>
      <w:r w:rsidRPr="009338B9">
        <w:rPr>
          <w:rFonts w:hint="eastAsia"/>
          <w:kern w:val="0"/>
          <w:sz w:val="28"/>
          <w:szCs w:val="28"/>
        </w:rPr>
        <w:t>（以下簡稱本辦法）</w:t>
      </w:r>
      <w:r w:rsidRPr="009338B9">
        <w:rPr>
          <w:rFonts w:hint="eastAsia"/>
          <w:sz w:val="28"/>
          <w:szCs w:val="28"/>
        </w:rPr>
        <w:t>係依動物傳染病防治條例第十條之</w:t>
      </w:r>
      <w:proofErr w:type="gramStart"/>
      <w:r w:rsidRPr="009338B9">
        <w:rPr>
          <w:rFonts w:hint="eastAsia"/>
          <w:sz w:val="28"/>
          <w:szCs w:val="28"/>
        </w:rPr>
        <w:t>一</w:t>
      </w:r>
      <w:proofErr w:type="gramEnd"/>
      <w:r w:rsidRPr="009338B9">
        <w:rPr>
          <w:rFonts w:hint="eastAsia"/>
          <w:sz w:val="28"/>
          <w:szCs w:val="28"/>
        </w:rPr>
        <w:t>及植物防疫檢疫法第六條之</w:t>
      </w:r>
      <w:proofErr w:type="gramStart"/>
      <w:r w:rsidRPr="009338B9">
        <w:rPr>
          <w:rFonts w:hint="eastAsia"/>
          <w:sz w:val="28"/>
          <w:szCs w:val="28"/>
        </w:rPr>
        <w:t>一</w:t>
      </w:r>
      <w:proofErr w:type="gramEnd"/>
      <w:r w:rsidRPr="009338B9">
        <w:rPr>
          <w:rFonts w:hint="eastAsia"/>
          <w:sz w:val="28"/>
          <w:szCs w:val="28"/>
        </w:rPr>
        <w:t>授權訂定，於九十一年七月十日發布施行。</w:t>
      </w:r>
      <w:r w:rsidR="00976853" w:rsidRPr="009338B9">
        <w:rPr>
          <w:rFonts w:hint="eastAsia"/>
          <w:sz w:val="28"/>
          <w:szCs w:val="28"/>
        </w:rPr>
        <w:t>並</w:t>
      </w:r>
      <w:r w:rsidR="008762C4" w:rsidRPr="009338B9">
        <w:rPr>
          <w:rFonts w:hint="eastAsia"/>
          <w:sz w:val="28"/>
          <w:szCs w:val="28"/>
        </w:rPr>
        <w:t>於九十五年一月十六日修正。</w:t>
      </w:r>
      <w:r w:rsidR="00412012" w:rsidRPr="009338B9">
        <w:rPr>
          <w:rFonts w:hint="eastAsia"/>
          <w:kern w:val="0"/>
          <w:sz w:val="28"/>
          <w:szCs w:val="28"/>
        </w:rPr>
        <w:t>茲</w:t>
      </w:r>
      <w:r w:rsidR="008762C4" w:rsidRPr="009338B9">
        <w:rPr>
          <w:rFonts w:hint="eastAsia"/>
          <w:kern w:val="0"/>
          <w:sz w:val="28"/>
          <w:szCs w:val="28"/>
        </w:rPr>
        <w:t>配合</w:t>
      </w:r>
      <w:r w:rsidR="00412012" w:rsidRPr="009338B9">
        <w:rPr>
          <w:rFonts w:hint="eastAsia"/>
          <w:kern w:val="0"/>
          <w:sz w:val="28"/>
          <w:szCs w:val="28"/>
        </w:rPr>
        <w:t>行政院秘書長</w:t>
      </w:r>
      <w:r w:rsidR="00412012" w:rsidRPr="009338B9">
        <w:rPr>
          <w:rFonts w:hAnsi="標楷體" w:hint="eastAsia"/>
          <w:color w:val="000000"/>
          <w:sz w:val="28"/>
          <w:szCs w:val="28"/>
        </w:rPr>
        <w:t>一○○年五月二十</w:t>
      </w:r>
      <w:r w:rsidR="006A551D" w:rsidRPr="009338B9">
        <w:rPr>
          <w:rFonts w:hAnsi="標楷體" w:hint="eastAsia"/>
          <w:color w:val="000000"/>
          <w:sz w:val="28"/>
          <w:szCs w:val="28"/>
        </w:rPr>
        <w:t>四</w:t>
      </w:r>
      <w:r w:rsidR="00412012" w:rsidRPr="009338B9">
        <w:rPr>
          <w:rFonts w:hAnsi="標楷體" w:hint="eastAsia"/>
          <w:color w:val="000000"/>
          <w:sz w:val="28"/>
          <w:szCs w:val="28"/>
        </w:rPr>
        <w:t>日院</w:t>
      </w:r>
      <w:proofErr w:type="gramStart"/>
      <w:r w:rsidR="00412012" w:rsidRPr="009338B9">
        <w:rPr>
          <w:rFonts w:hAnsi="標楷體" w:hint="eastAsia"/>
          <w:color w:val="000000"/>
          <w:sz w:val="28"/>
          <w:szCs w:val="28"/>
        </w:rPr>
        <w:t>臺農字</w:t>
      </w:r>
      <w:proofErr w:type="gramEnd"/>
      <w:r w:rsidR="00412012" w:rsidRPr="009338B9">
        <w:rPr>
          <w:rFonts w:hAnsi="標楷體" w:hint="eastAsia"/>
          <w:color w:val="000000"/>
          <w:sz w:val="28"/>
          <w:szCs w:val="28"/>
        </w:rPr>
        <w:t>第一○○○○一九二八七號函</w:t>
      </w:r>
      <w:r w:rsidR="008762C4" w:rsidRPr="009338B9">
        <w:rPr>
          <w:rFonts w:hAnsi="標楷體" w:hint="eastAsia"/>
          <w:color w:val="000000"/>
          <w:sz w:val="28"/>
          <w:szCs w:val="28"/>
        </w:rPr>
        <w:t>修正</w:t>
      </w:r>
      <w:r w:rsidR="00970997" w:rsidRPr="009338B9">
        <w:rPr>
          <w:rFonts w:hint="eastAsia"/>
          <w:kern w:val="0"/>
          <w:sz w:val="28"/>
          <w:szCs w:val="28"/>
        </w:rPr>
        <w:t>查緝機關</w:t>
      </w:r>
      <w:r w:rsidR="00E05A58" w:rsidRPr="009338B9">
        <w:rPr>
          <w:rFonts w:hint="eastAsia"/>
          <w:kern w:val="0"/>
          <w:sz w:val="28"/>
          <w:szCs w:val="28"/>
        </w:rPr>
        <w:t>實際參與人員</w:t>
      </w:r>
      <w:r w:rsidR="00970997" w:rsidRPr="009338B9">
        <w:rPr>
          <w:rFonts w:hint="eastAsia"/>
          <w:kern w:val="0"/>
          <w:sz w:val="28"/>
          <w:szCs w:val="28"/>
        </w:rPr>
        <w:t>不宜核發獎金，</w:t>
      </w:r>
      <w:proofErr w:type="gramStart"/>
      <w:r w:rsidR="00F75D49" w:rsidRPr="009338B9">
        <w:rPr>
          <w:rFonts w:hint="eastAsia"/>
          <w:kern w:val="0"/>
          <w:sz w:val="28"/>
          <w:szCs w:val="28"/>
        </w:rPr>
        <w:t>爰</w:t>
      </w:r>
      <w:proofErr w:type="gramEnd"/>
      <w:r w:rsidR="00F75D49" w:rsidRPr="009338B9">
        <w:rPr>
          <w:rFonts w:hint="eastAsia"/>
          <w:kern w:val="0"/>
          <w:sz w:val="28"/>
          <w:szCs w:val="28"/>
        </w:rPr>
        <w:t>擬具本辦法</w:t>
      </w:r>
      <w:r w:rsidR="00F75D49" w:rsidRPr="009338B9">
        <w:rPr>
          <w:rFonts w:hint="eastAsia"/>
          <w:sz w:val="28"/>
          <w:szCs w:val="28"/>
        </w:rPr>
        <w:t>第七條、第七條之</w:t>
      </w:r>
      <w:proofErr w:type="gramStart"/>
      <w:r w:rsidR="00F75D49" w:rsidRPr="009338B9">
        <w:rPr>
          <w:rFonts w:hint="eastAsia"/>
          <w:sz w:val="28"/>
          <w:szCs w:val="28"/>
        </w:rPr>
        <w:t>ㄧ</w:t>
      </w:r>
      <w:proofErr w:type="gramEnd"/>
      <w:r w:rsidR="00F75D49" w:rsidRPr="009338B9">
        <w:rPr>
          <w:rFonts w:hint="eastAsia"/>
          <w:sz w:val="28"/>
          <w:szCs w:val="28"/>
        </w:rPr>
        <w:t>、第</w:t>
      </w:r>
      <w:r w:rsidR="00EC5586">
        <w:rPr>
          <w:rFonts w:hint="eastAsia"/>
          <w:sz w:val="28"/>
          <w:szCs w:val="28"/>
        </w:rPr>
        <w:t>九</w:t>
      </w:r>
      <w:r w:rsidR="00F75D49" w:rsidRPr="009338B9">
        <w:rPr>
          <w:rFonts w:hint="eastAsia"/>
          <w:sz w:val="28"/>
          <w:szCs w:val="28"/>
        </w:rPr>
        <w:t>條</w:t>
      </w:r>
      <w:r w:rsidR="00EC5586">
        <w:rPr>
          <w:rFonts w:hint="eastAsia"/>
          <w:sz w:val="28"/>
          <w:szCs w:val="28"/>
        </w:rPr>
        <w:t>之</w:t>
      </w:r>
      <w:proofErr w:type="gramStart"/>
      <w:r w:rsidR="00EC5586">
        <w:rPr>
          <w:rFonts w:hint="eastAsia"/>
          <w:sz w:val="28"/>
          <w:szCs w:val="28"/>
        </w:rPr>
        <w:t>ㄧ</w:t>
      </w:r>
      <w:proofErr w:type="gramEnd"/>
      <w:r w:rsidR="00F75D49" w:rsidRPr="009338B9">
        <w:rPr>
          <w:rFonts w:hint="eastAsia"/>
          <w:kern w:val="0"/>
          <w:sz w:val="28"/>
          <w:szCs w:val="28"/>
        </w:rPr>
        <w:t>修正草案，其修正要點如次：</w:t>
      </w:r>
    </w:p>
    <w:p w14:paraId="4F1D428F" w14:textId="77777777" w:rsidR="00F75D49" w:rsidRPr="009B6B08" w:rsidRDefault="00F75D49" w:rsidP="00F75D49">
      <w:pPr>
        <w:snapToGrid w:val="0"/>
        <w:spacing w:line="460" w:lineRule="exact"/>
        <w:ind w:left="538" w:hangingChars="192" w:hanging="538"/>
        <w:rPr>
          <w:rFonts w:hAnsi="標楷體" w:hint="eastAsia"/>
          <w:color w:val="000000"/>
          <w:sz w:val="28"/>
          <w:szCs w:val="28"/>
        </w:rPr>
      </w:pPr>
      <w:r w:rsidRPr="009B6B08">
        <w:rPr>
          <w:rFonts w:cs="新細明體" w:hint="eastAsia"/>
          <w:color w:val="000000"/>
          <w:kern w:val="0"/>
          <w:sz w:val="28"/>
          <w:szCs w:val="28"/>
        </w:rPr>
        <w:t>一、</w:t>
      </w:r>
      <w:r w:rsidRPr="009B6B08">
        <w:rPr>
          <w:rFonts w:hAnsi="標楷體" w:hint="eastAsia"/>
          <w:color w:val="000000"/>
          <w:sz w:val="28"/>
          <w:szCs w:val="28"/>
        </w:rPr>
        <w:t>刪除查緝機關</w:t>
      </w:r>
      <w:r>
        <w:rPr>
          <w:rFonts w:hAnsi="標楷體" w:hint="eastAsia"/>
          <w:color w:val="000000"/>
          <w:sz w:val="28"/>
          <w:szCs w:val="28"/>
        </w:rPr>
        <w:t>實際參與</w:t>
      </w:r>
      <w:r w:rsidRPr="009B6B08">
        <w:rPr>
          <w:rFonts w:hAnsi="標楷體" w:hint="eastAsia"/>
          <w:color w:val="000000"/>
          <w:sz w:val="28"/>
          <w:szCs w:val="28"/>
        </w:rPr>
        <w:t>人員可請領獎金之規定。（修正條文第七條及第七條之</w:t>
      </w:r>
      <w:proofErr w:type="gramStart"/>
      <w:r w:rsidRPr="009B6B08">
        <w:rPr>
          <w:rFonts w:hAnsi="標楷體" w:hint="eastAsia"/>
          <w:color w:val="000000"/>
          <w:sz w:val="28"/>
          <w:szCs w:val="28"/>
        </w:rPr>
        <w:t>ㄧ</w:t>
      </w:r>
      <w:proofErr w:type="gramEnd"/>
      <w:r w:rsidRPr="009B6B08">
        <w:rPr>
          <w:rFonts w:hAnsi="標楷體" w:hint="eastAsia"/>
          <w:color w:val="000000"/>
          <w:sz w:val="28"/>
          <w:szCs w:val="28"/>
        </w:rPr>
        <w:t>）</w:t>
      </w:r>
    </w:p>
    <w:p w14:paraId="308F392C" w14:textId="77777777" w:rsidR="00F75D49" w:rsidRPr="009B6B08" w:rsidRDefault="00F75D49" w:rsidP="00F75D49">
      <w:pPr>
        <w:snapToGrid w:val="0"/>
        <w:spacing w:line="460" w:lineRule="exact"/>
        <w:ind w:left="538" w:hangingChars="192" w:hanging="538"/>
        <w:rPr>
          <w:rFonts w:hAnsi="標楷體" w:hint="eastAsia"/>
          <w:color w:val="000000"/>
          <w:sz w:val="28"/>
          <w:szCs w:val="28"/>
        </w:rPr>
      </w:pPr>
      <w:r w:rsidRPr="009B6B08">
        <w:rPr>
          <w:rFonts w:cs="新細明體" w:hint="eastAsia"/>
          <w:color w:val="000000"/>
          <w:kern w:val="0"/>
          <w:sz w:val="28"/>
          <w:szCs w:val="28"/>
        </w:rPr>
        <w:t>二、</w:t>
      </w:r>
      <w:r w:rsidR="00C56774">
        <w:rPr>
          <w:rFonts w:hAnsi="標楷體" w:hint="eastAsia"/>
          <w:color w:val="000000"/>
          <w:sz w:val="28"/>
          <w:szCs w:val="28"/>
        </w:rPr>
        <w:t>修正施行前</w:t>
      </w:r>
      <w:r w:rsidR="004156C9" w:rsidRPr="004156C9">
        <w:rPr>
          <w:rFonts w:hAnsi="標楷體" w:hint="eastAsia"/>
          <w:color w:val="000000"/>
          <w:sz w:val="28"/>
          <w:szCs w:val="28"/>
        </w:rPr>
        <w:t>已受理但尚未終結案件</w:t>
      </w:r>
      <w:r w:rsidR="00C56774">
        <w:rPr>
          <w:rFonts w:hAnsi="標楷體" w:hint="eastAsia"/>
          <w:color w:val="000000"/>
          <w:sz w:val="28"/>
          <w:szCs w:val="28"/>
        </w:rPr>
        <w:t>，</w:t>
      </w:r>
      <w:r w:rsidR="00C56774" w:rsidRPr="00C56774">
        <w:rPr>
          <w:rFonts w:hAnsi="標楷體" w:hint="eastAsia"/>
          <w:color w:val="000000"/>
          <w:sz w:val="28"/>
          <w:szCs w:val="28"/>
        </w:rPr>
        <w:t>查緝機關人員依修正後之規定不得核發獎金。</w:t>
      </w:r>
      <w:r w:rsidRPr="009B6B08">
        <w:rPr>
          <w:rFonts w:hAnsi="標楷體" w:hint="eastAsia"/>
          <w:color w:val="000000"/>
          <w:sz w:val="28"/>
          <w:szCs w:val="28"/>
        </w:rPr>
        <w:t>（修正條文第</w:t>
      </w:r>
      <w:r w:rsidR="009338B9">
        <w:rPr>
          <w:rFonts w:hAnsi="標楷體" w:hint="eastAsia"/>
          <w:color w:val="000000"/>
          <w:sz w:val="28"/>
          <w:szCs w:val="28"/>
        </w:rPr>
        <w:t>九</w:t>
      </w:r>
      <w:r w:rsidRPr="009B6B08">
        <w:rPr>
          <w:rFonts w:hAnsi="標楷體" w:hint="eastAsia"/>
          <w:color w:val="000000"/>
          <w:sz w:val="28"/>
          <w:szCs w:val="28"/>
        </w:rPr>
        <w:t>條</w:t>
      </w:r>
      <w:r w:rsidR="009338B9">
        <w:rPr>
          <w:rFonts w:hAnsi="標楷體" w:hint="eastAsia"/>
          <w:color w:val="000000"/>
          <w:sz w:val="28"/>
          <w:szCs w:val="28"/>
        </w:rPr>
        <w:t>之</w:t>
      </w:r>
      <w:proofErr w:type="gramStart"/>
      <w:r w:rsidR="009338B9">
        <w:rPr>
          <w:rFonts w:hAnsi="標楷體" w:hint="eastAsia"/>
          <w:color w:val="000000"/>
          <w:sz w:val="28"/>
          <w:szCs w:val="28"/>
        </w:rPr>
        <w:t>ㄧ</w:t>
      </w:r>
      <w:proofErr w:type="gramEnd"/>
      <w:r w:rsidRPr="009B6B08">
        <w:rPr>
          <w:rFonts w:hAnsi="標楷體" w:hint="eastAsia"/>
          <w:color w:val="000000"/>
          <w:sz w:val="28"/>
          <w:szCs w:val="28"/>
        </w:rPr>
        <w:t>）</w:t>
      </w:r>
    </w:p>
    <w:p w14:paraId="019122EE" w14:textId="77777777" w:rsidR="00F75D49" w:rsidRPr="00F75D49" w:rsidRDefault="00F75D49" w:rsidP="009B6B08">
      <w:pPr>
        <w:pStyle w:val="HTML"/>
        <w:snapToGrid w:val="0"/>
        <w:spacing w:before="30" w:line="460" w:lineRule="exact"/>
        <w:jc w:val="center"/>
        <w:rPr>
          <w:rFonts w:eastAsia="標楷體" w:hint="eastAsia"/>
          <w:noProof/>
          <w:color w:val="000000"/>
          <w:sz w:val="28"/>
          <w:szCs w:val="28"/>
        </w:rPr>
        <w:sectPr w:rsidR="00F75D49" w:rsidRPr="00F75D49" w:rsidSect="00412012">
          <w:pgSz w:w="11906" w:h="16838"/>
          <w:pgMar w:top="1418" w:right="1418" w:bottom="1418" w:left="1701" w:header="851" w:footer="992" w:gutter="0"/>
          <w:cols w:space="425"/>
          <w:docGrid w:type="lines" w:linePitch="360"/>
        </w:sectPr>
      </w:pPr>
    </w:p>
    <w:p w14:paraId="37F5C50D" w14:textId="77777777" w:rsidR="004077DD" w:rsidRPr="004077DD" w:rsidRDefault="004077DD" w:rsidP="004077DD">
      <w:pPr>
        <w:autoSpaceDE w:val="0"/>
        <w:autoSpaceDN w:val="0"/>
        <w:adjustRightInd w:val="0"/>
        <w:spacing w:line="420" w:lineRule="exact"/>
        <w:jc w:val="center"/>
        <w:rPr>
          <w:bCs/>
          <w:color w:val="000000"/>
          <w:sz w:val="40"/>
          <w:szCs w:val="40"/>
        </w:rPr>
      </w:pPr>
      <w:hyperlink w:anchor="頁3" w:history="1">
        <w:r w:rsidRPr="004077DD">
          <w:rPr>
            <w:bCs/>
            <w:sz w:val="40"/>
            <w:szCs w:val="40"/>
          </w:rPr>
          <w:t>檢舉走私</w:t>
        </w:r>
        <w:r w:rsidRPr="004077DD">
          <w:rPr>
            <w:bCs/>
            <w:sz w:val="40"/>
            <w:szCs w:val="40"/>
          </w:rPr>
          <w:t>進</w:t>
        </w:r>
        <w:r w:rsidRPr="004077DD">
          <w:rPr>
            <w:bCs/>
            <w:sz w:val="40"/>
            <w:szCs w:val="40"/>
          </w:rPr>
          <w:t>口動植物及其產品</w:t>
        </w:r>
        <w:r w:rsidRPr="004077DD">
          <w:rPr>
            <w:bCs/>
            <w:sz w:val="40"/>
            <w:szCs w:val="40"/>
          </w:rPr>
          <w:t>獎</w:t>
        </w:r>
        <w:r w:rsidRPr="004077DD">
          <w:rPr>
            <w:bCs/>
            <w:sz w:val="40"/>
            <w:szCs w:val="40"/>
          </w:rPr>
          <w:t>勵辦法</w:t>
        </w:r>
        <w:bookmarkEnd w:id="0"/>
      </w:hyperlink>
    </w:p>
    <w:p w14:paraId="6A954D3A" w14:textId="77777777" w:rsidR="004077DD" w:rsidRDefault="004077DD" w:rsidP="004077DD">
      <w:pPr>
        <w:tabs>
          <w:tab w:val="left" w:pos="3960"/>
          <w:tab w:val="left" w:pos="4320"/>
        </w:tabs>
        <w:snapToGrid w:val="0"/>
        <w:spacing w:afterLines="50" w:after="180" w:line="240" w:lineRule="atLeast"/>
        <w:jc w:val="center"/>
        <w:rPr>
          <w:rFonts w:hint="eastAsia"/>
          <w:color w:val="000000"/>
          <w:sz w:val="40"/>
          <w:szCs w:val="40"/>
        </w:rPr>
      </w:pPr>
      <w:r w:rsidRPr="004B3737">
        <w:rPr>
          <w:rFonts w:hint="eastAsia"/>
          <w:bCs/>
          <w:color w:val="000000"/>
          <w:sz w:val="40"/>
          <w:szCs w:val="40"/>
        </w:rPr>
        <w:t>第</w:t>
      </w:r>
      <w:r w:rsidR="000C72A0">
        <w:rPr>
          <w:rFonts w:hint="eastAsia"/>
          <w:bCs/>
          <w:color w:val="000000"/>
          <w:sz w:val="40"/>
          <w:szCs w:val="40"/>
        </w:rPr>
        <w:t>七條</w:t>
      </w:r>
      <w:r w:rsidRPr="004B3737">
        <w:rPr>
          <w:rFonts w:hint="eastAsia"/>
          <w:bCs/>
          <w:color w:val="000000"/>
          <w:sz w:val="40"/>
          <w:szCs w:val="40"/>
        </w:rPr>
        <w:t>、第</w:t>
      </w:r>
      <w:r w:rsidR="002A1187">
        <w:rPr>
          <w:rFonts w:hint="eastAsia"/>
          <w:bCs/>
          <w:color w:val="000000"/>
          <w:sz w:val="40"/>
          <w:szCs w:val="40"/>
        </w:rPr>
        <w:t>七條之</w:t>
      </w:r>
      <w:proofErr w:type="gramStart"/>
      <w:r w:rsidR="002A1187">
        <w:rPr>
          <w:rFonts w:hint="eastAsia"/>
          <w:bCs/>
          <w:color w:val="000000"/>
          <w:sz w:val="40"/>
          <w:szCs w:val="40"/>
        </w:rPr>
        <w:t>ㄧ</w:t>
      </w:r>
      <w:proofErr w:type="gramEnd"/>
      <w:r w:rsidR="00F75D49">
        <w:rPr>
          <w:rFonts w:hint="eastAsia"/>
          <w:bCs/>
          <w:color w:val="000000"/>
          <w:sz w:val="40"/>
          <w:szCs w:val="40"/>
        </w:rPr>
        <w:t>、第九條之</w:t>
      </w:r>
      <w:proofErr w:type="gramStart"/>
      <w:r w:rsidR="00F75D49">
        <w:rPr>
          <w:rFonts w:hint="eastAsia"/>
          <w:bCs/>
          <w:color w:val="000000"/>
          <w:sz w:val="40"/>
          <w:szCs w:val="40"/>
        </w:rPr>
        <w:t>一</w:t>
      </w:r>
      <w:proofErr w:type="gramEnd"/>
      <w:r w:rsidRPr="004B3737">
        <w:rPr>
          <w:rFonts w:hint="eastAsia"/>
          <w:color w:val="000000"/>
          <w:sz w:val="40"/>
          <w:szCs w:val="40"/>
        </w:rPr>
        <w:t>修正草案</w:t>
      </w:r>
      <w:r w:rsidR="008623A0">
        <w:rPr>
          <w:rFonts w:hint="eastAsia"/>
          <w:color w:val="000000"/>
          <w:sz w:val="40"/>
          <w:szCs w:val="40"/>
        </w:rPr>
        <w:t>條文</w:t>
      </w:r>
      <w:r w:rsidRPr="004B3737">
        <w:rPr>
          <w:rFonts w:hint="eastAsia"/>
          <w:color w:val="000000"/>
          <w:sz w:val="40"/>
          <w:szCs w:val="40"/>
        </w:rPr>
        <w:t>對照表</w:t>
      </w:r>
    </w:p>
    <w:tbl>
      <w:tblPr>
        <w:tblStyle w:val="a3"/>
        <w:tblW w:w="0" w:type="auto"/>
        <w:tblInd w:w="108" w:type="dxa"/>
        <w:tblLook w:val="01E0" w:firstRow="1" w:lastRow="1" w:firstColumn="1" w:lastColumn="1" w:noHBand="0" w:noVBand="0"/>
      </w:tblPr>
      <w:tblGrid>
        <w:gridCol w:w="2845"/>
        <w:gridCol w:w="2845"/>
        <w:gridCol w:w="2724"/>
      </w:tblGrid>
      <w:tr w:rsidR="004077DD" w:rsidRPr="002F20B6" w14:paraId="0A8F29D9" w14:textId="77777777" w:rsidTr="00640F8D">
        <w:tc>
          <w:tcPr>
            <w:tcW w:w="2845" w:type="dxa"/>
          </w:tcPr>
          <w:p w14:paraId="7CC096A3" w14:textId="77777777" w:rsidR="004077DD" w:rsidRPr="002F20B6" w:rsidRDefault="004077DD" w:rsidP="004077DD">
            <w:pPr>
              <w:snapToGrid w:val="0"/>
              <w:ind w:leftChars="50" w:left="160" w:rightChars="50" w:right="160"/>
              <w:jc w:val="center"/>
              <w:rPr>
                <w:rFonts w:hAnsi="標楷體" w:hint="eastAsia"/>
                <w:color w:val="000000"/>
                <w:sz w:val="24"/>
              </w:rPr>
            </w:pPr>
            <w:r w:rsidRPr="002F20B6">
              <w:rPr>
                <w:rFonts w:hAnsi="標楷體" w:hint="eastAsia"/>
                <w:color w:val="000000"/>
                <w:sz w:val="24"/>
              </w:rPr>
              <w:t>修正</w:t>
            </w:r>
            <w:r w:rsidR="00296C7A">
              <w:rPr>
                <w:rFonts w:hAnsi="標楷體" w:hint="eastAsia"/>
                <w:color w:val="000000"/>
                <w:sz w:val="24"/>
              </w:rPr>
              <w:t>條文</w:t>
            </w:r>
          </w:p>
        </w:tc>
        <w:tc>
          <w:tcPr>
            <w:tcW w:w="2845" w:type="dxa"/>
          </w:tcPr>
          <w:p w14:paraId="035FF2FD" w14:textId="77777777" w:rsidR="004077DD" w:rsidRPr="002F20B6" w:rsidRDefault="004077DD" w:rsidP="004077DD">
            <w:pPr>
              <w:snapToGrid w:val="0"/>
              <w:ind w:leftChars="50" w:left="160" w:rightChars="50" w:right="160"/>
              <w:jc w:val="center"/>
              <w:rPr>
                <w:rFonts w:hAnsi="標楷體" w:hint="eastAsia"/>
                <w:color w:val="000000"/>
                <w:sz w:val="24"/>
              </w:rPr>
            </w:pPr>
            <w:r w:rsidRPr="002F20B6">
              <w:rPr>
                <w:rFonts w:hAnsi="標楷體" w:hint="eastAsia"/>
                <w:color w:val="000000"/>
                <w:sz w:val="24"/>
              </w:rPr>
              <w:t>現行</w:t>
            </w:r>
            <w:r w:rsidR="00296C7A">
              <w:rPr>
                <w:rFonts w:hAnsi="標楷體" w:hint="eastAsia"/>
                <w:color w:val="000000"/>
                <w:sz w:val="24"/>
              </w:rPr>
              <w:t>條文</w:t>
            </w:r>
          </w:p>
        </w:tc>
        <w:tc>
          <w:tcPr>
            <w:tcW w:w="2724" w:type="dxa"/>
          </w:tcPr>
          <w:p w14:paraId="12F98C7C" w14:textId="77777777" w:rsidR="004077DD" w:rsidRPr="002F20B6" w:rsidRDefault="004077DD" w:rsidP="004077DD">
            <w:pPr>
              <w:snapToGrid w:val="0"/>
              <w:ind w:leftChars="50" w:left="160" w:rightChars="50" w:right="160"/>
              <w:jc w:val="center"/>
              <w:rPr>
                <w:rFonts w:hAnsi="標楷體" w:hint="eastAsia"/>
                <w:color w:val="000000"/>
                <w:sz w:val="24"/>
              </w:rPr>
            </w:pPr>
            <w:r w:rsidRPr="002F20B6">
              <w:rPr>
                <w:rFonts w:hAnsi="標楷體" w:hint="eastAsia"/>
                <w:color w:val="000000"/>
                <w:sz w:val="24"/>
              </w:rPr>
              <w:t>說</w:t>
            </w:r>
            <w:r w:rsidR="00296C7A">
              <w:rPr>
                <w:rFonts w:hAnsi="標楷體" w:hint="eastAsia"/>
                <w:color w:val="000000"/>
                <w:sz w:val="24"/>
              </w:rPr>
              <w:t xml:space="preserve">      </w:t>
            </w:r>
            <w:r w:rsidRPr="002F20B6">
              <w:rPr>
                <w:rFonts w:hAnsi="標楷體" w:hint="eastAsia"/>
                <w:color w:val="000000"/>
                <w:sz w:val="24"/>
              </w:rPr>
              <w:t>明</w:t>
            </w:r>
          </w:p>
        </w:tc>
      </w:tr>
      <w:tr w:rsidR="00640F8D" w:rsidRPr="002F20B6" w14:paraId="0612B7AE" w14:textId="77777777" w:rsidTr="00640F8D">
        <w:tc>
          <w:tcPr>
            <w:tcW w:w="2845" w:type="dxa"/>
          </w:tcPr>
          <w:p w14:paraId="3145112C" w14:textId="77777777" w:rsidR="00DF74F4" w:rsidRPr="00640F8D" w:rsidRDefault="00DF74F4" w:rsidP="00DF74F4">
            <w:pPr>
              <w:ind w:left="286" w:hangingChars="119" w:hanging="286"/>
              <w:jc w:val="both"/>
              <w:rPr>
                <w:rFonts w:hAnsi="標楷體"/>
                <w:color w:val="000000"/>
                <w:sz w:val="24"/>
              </w:rPr>
            </w:pPr>
            <w:r w:rsidRPr="00640F8D">
              <w:rPr>
                <w:rFonts w:hAnsi="標楷體"/>
                <w:color w:val="000000"/>
                <w:sz w:val="24"/>
              </w:rPr>
              <w:t>第七條</w:t>
            </w:r>
            <w:r>
              <w:rPr>
                <w:rFonts w:hAnsi="標楷體" w:hint="eastAsia"/>
                <w:color w:val="000000"/>
                <w:sz w:val="24"/>
              </w:rPr>
              <w:t xml:space="preserve"> </w:t>
            </w:r>
            <w:r w:rsidRPr="00640F8D">
              <w:rPr>
                <w:rFonts w:hAnsi="標楷體"/>
                <w:color w:val="000000"/>
                <w:sz w:val="24"/>
              </w:rPr>
              <w:t>檢舉走私進口動植物及其產品依緝獲物價值比率核發檢舉人獎金如下：</w:t>
            </w:r>
          </w:p>
          <w:p w14:paraId="41B08652"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價值在新臺幣三萬元以下者，按百分之三十計算。</w:t>
            </w:r>
          </w:p>
          <w:p w14:paraId="2C1DE09E"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價值超過新臺幣三萬元至十五萬元者，其超額部分，按百分之二十七計算。</w:t>
            </w:r>
          </w:p>
          <w:p w14:paraId="113EC54C"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價值超過新臺幣十五萬元至三十萬元者，其超額部分，按百分之二十四計算。</w:t>
            </w:r>
          </w:p>
          <w:p w14:paraId="3023BB6B"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價值超過新臺幣三十萬元至六十萬元者，其超額部分，按百分之二十一計算。</w:t>
            </w:r>
          </w:p>
          <w:p w14:paraId="65D9C44C"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價值超過新臺幣六十萬元至九十萬元者，其超額部分，按百分之十八計算。</w:t>
            </w:r>
          </w:p>
          <w:p w14:paraId="6E4C7BF0"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價值超過新臺幣九十萬元至一百二十萬元者，其超額部分，按百分之十五計算。</w:t>
            </w:r>
          </w:p>
          <w:p w14:paraId="073B8859"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lastRenderedPageBreak/>
              <w:t>價值超過新臺幣一百二十萬元至一百五十萬元者，其超額部分，按百分之十二計算。</w:t>
            </w:r>
          </w:p>
          <w:p w14:paraId="11EA7003"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價值超過新臺幣一百五十萬元至三百萬元者，其超額部分，按百分之九計算。</w:t>
            </w:r>
          </w:p>
          <w:p w14:paraId="69D7E6F9" w14:textId="77777777" w:rsidR="00DF74F4" w:rsidRPr="00640F8D" w:rsidRDefault="00DF74F4" w:rsidP="00DF74F4">
            <w:pPr>
              <w:numPr>
                <w:ilvl w:val="0"/>
                <w:numId w:val="7"/>
              </w:numPr>
              <w:ind w:hanging="572"/>
              <w:jc w:val="both"/>
              <w:rPr>
                <w:rFonts w:hAnsi="標楷體"/>
                <w:color w:val="000000"/>
                <w:sz w:val="24"/>
              </w:rPr>
            </w:pPr>
            <w:r w:rsidRPr="00640F8D">
              <w:rPr>
                <w:rFonts w:hAnsi="標楷體"/>
                <w:color w:val="000000"/>
                <w:sz w:val="24"/>
              </w:rPr>
              <w:t>價值超過新臺幣</w:t>
            </w:r>
            <w:proofErr w:type="gramStart"/>
            <w:r w:rsidRPr="00640F8D">
              <w:rPr>
                <w:rFonts w:hAnsi="標楷體"/>
                <w:color w:val="000000"/>
                <w:sz w:val="24"/>
              </w:rPr>
              <w:t>三</w:t>
            </w:r>
            <w:proofErr w:type="gramEnd"/>
            <w:r w:rsidRPr="00640F8D">
              <w:rPr>
                <w:rFonts w:hAnsi="標楷體"/>
                <w:color w:val="000000"/>
                <w:sz w:val="24"/>
              </w:rPr>
              <w:t>百萬元以上者，其超額部分，按百分之六計算。</w:t>
            </w:r>
          </w:p>
          <w:p w14:paraId="1AC4CE07" w14:textId="77777777" w:rsidR="00DF74F4" w:rsidRPr="00640F8D" w:rsidRDefault="00DF74F4" w:rsidP="00DF74F4">
            <w:pPr>
              <w:ind w:leftChars="90" w:left="288" w:firstLineChars="148" w:firstLine="355"/>
              <w:jc w:val="both"/>
              <w:rPr>
                <w:rFonts w:hAnsi="標楷體"/>
                <w:color w:val="000000"/>
                <w:sz w:val="24"/>
              </w:rPr>
            </w:pPr>
            <w:r>
              <w:rPr>
                <w:rFonts w:hAnsi="標楷體" w:hint="eastAsia"/>
                <w:color w:val="000000"/>
                <w:sz w:val="24"/>
              </w:rPr>
              <w:t xml:space="preserve"> </w:t>
            </w:r>
            <w:r w:rsidRPr="00640F8D">
              <w:rPr>
                <w:rFonts w:hAnsi="標楷體"/>
                <w:color w:val="000000"/>
                <w:sz w:val="24"/>
              </w:rPr>
              <w:t>前項獎金</w:t>
            </w:r>
            <w:r w:rsidR="00DC6619" w:rsidRPr="00DC6619">
              <w:rPr>
                <w:rFonts w:hAnsi="標楷體" w:hint="eastAsia"/>
                <w:color w:val="0000FF"/>
                <w:sz w:val="24"/>
                <w:u w:val="single"/>
              </w:rPr>
              <w:t>每案</w:t>
            </w:r>
            <w:r w:rsidRPr="00640F8D">
              <w:rPr>
                <w:rFonts w:hAnsi="標楷體"/>
                <w:color w:val="000000"/>
                <w:sz w:val="24"/>
              </w:rPr>
              <w:t>最高金額新臺幣五百萬元為限，其他法令規定之檢舉獎金優於本辦法者，從其規定，擇</w:t>
            </w:r>
            <w:proofErr w:type="gramStart"/>
            <w:r w:rsidRPr="00640F8D">
              <w:rPr>
                <w:rFonts w:hAnsi="標楷體"/>
                <w:color w:val="000000"/>
                <w:sz w:val="24"/>
              </w:rPr>
              <w:t>一</w:t>
            </w:r>
            <w:proofErr w:type="gramEnd"/>
            <w:r w:rsidRPr="00640F8D">
              <w:rPr>
                <w:rFonts w:hAnsi="標楷體"/>
                <w:color w:val="000000"/>
                <w:sz w:val="24"/>
              </w:rPr>
              <w:t>領取。</w:t>
            </w:r>
          </w:p>
          <w:p w14:paraId="0B20A7C8" w14:textId="77777777" w:rsidR="00DF74F4" w:rsidRDefault="00DF74F4" w:rsidP="00DF74F4">
            <w:pPr>
              <w:ind w:leftChars="90" w:left="288" w:firstLineChars="148" w:firstLine="355"/>
              <w:jc w:val="both"/>
              <w:rPr>
                <w:rFonts w:hAnsi="標楷體" w:hint="eastAsia"/>
                <w:color w:val="000000"/>
                <w:sz w:val="24"/>
              </w:rPr>
            </w:pPr>
            <w:r>
              <w:rPr>
                <w:rFonts w:hAnsi="標楷體" w:hint="eastAsia"/>
                <w:color w:val="000000"/>
                <w:sz w:val="24"/>
              </w:rPr>
              <w:t xml:space="preserve"> </w:t>
            </w:r>
            <w:r w:rsidRPr="00640F8D">
              <w:rPr>
                <w:rFonts w:hAnsi="標楷體"/>
                <w:color w:val="000000"/>
                <w:sz w:val="24"/>
              </w:rPr>
              <w:t>檢舉獎金，經檢察官提起公訴後，給與檢舉人獎金二分之一，經法院判決有罪確定後，再給與其餘獎金。但檢察官認定有犯罪事實依法為不起訴處分或緩起訴者，給與檢舉人二分之一獎金。</w:t>
            </w:r>
          </w:p>
          <w:p w14:paraId="7ED150D6" w14:textId="77777777" w:rsidR="00DF74F4" w:rsidRPr="00640F8D" w:rsidRDefault="00DF74F4" w:rsidP="00DF74F4">
            <w:pPr>
              <w:ind w:leftChars="90" w:left="288" w:firstLineChars="148" w:firstLine="355"/>
              <w:jc w:val="both"/>
              <w:rPr>
                <w:rFonts w:hAnsi="標楷體"/>
                <w:color w:val="000000"/>
                <w:sz w:val="24"/>
              </w:rPr>
            </w:pPr>
            <w:r w:rsidRPr="00640F8D">
              <w:rPr>
                <w:rFonts w:hAnsi="標楷體"/>
                <w:color w:val="000000"/>
                <w:sz w:val="24"/>
              </w:rPr>
              <w:t>檢舉獎金，分別於檢察官提起公訴、不起訴處分或緩起訴時及經法院判決有罪確定時，由受理檢舉機關通知檢舉人親自具名領取。</w:t>
            </w:r>
          </w:p>
          <w:p w14:paraId="3F170FE3" w14:textId="77777777" w:rsidR="00DF74F4" w:rsidRPr="00640F8D" w:rsidRDefault="00DF74F4" w:rsidP="00DF74F4">
            <w:pPr>
              <w:ind w:leftChars="90" w:left="288" w:firstLineChars="148" w:firstLine="355"/>
              <w:jc w:val="both"/>
              <w:rPr>
                <w:rFonts w:hAnsi="標楷體"/>
                <w:color w:val="000000"/>
                <w:sz w:val="24"/>
              </w:rPr>
            </w:pPr>
            <w:r>
              <w:rPr>
                <w:rFonts w:hAnsi="標楷體" w:hint="eastAsia"/>
                <w:color w:val="000000"/>
                <w:sz w:val="24"/>
              </w:rPr>
              <w:lastRenderedPageBreak/>
              <w:t xml:space="preserve"> </w:t>
            </w:r>
            <w:r w:rsidRPr="00640F8D">
              <w:rPr>
                <w:rFonts w:hAnsi="標楷體"/>
                <w:color w:val="000000"/>
                <w:sz w:val="24"/>
              </w:rPr>
              <w:t>前項已發給之獎金，經判決無罪確定者，不予追回。</w:t>
            </w:r>
          </w:p>
          <w:p w14:paraId="72C951E7" w14:textId="77777777" w:rsidR="00DF74F4" w:rsidRPr="00640F8D" w:rsidRDefault="00DF74F4" w:rsidP="00DF74F4">
            <w:pPr>
              <w:ind w:leftChars="90" w:left="288" w:firstLineChars="148" w:firstLine="355"/>
              <w:jc w:val="both"/>
              <w:rPr>
                <w:rFonts w:hAnsi="標楷體"/>
                <w:color w:val="000000"/>
                <w:sz w:val="24"/>
              </w:rPr>
            </w:pPr>
            <w:r>
              <w:rPr>
                <w:rFonts w:hAnsi="標楷體" w:hint="eastAsia"/>
                <w:color w:val="000000"/>
                <w:sz w:val="24"/>
              </w:rPr>
              <w:t xml:space="preserve"> </w:t>
            </w:r>
            <w:r w:rsidRPr="00640F8D">
              <w:rPr>
                <w:rFonts w:hAnsi="標楷體"/>
                <w:color w:val="000000"/>
                <w:sz w:val="24"/>
              </w:rPr>
              <w:t>檢舉人有數人時，獎金平均分配；其有先後者，獎金給與最先檢舉人。但其餘檢舉人檢舉資料，對於破案有直接重要幫助者，得酌情給獎。</w:t>
            </w:r>
          </w:p>
          <w:p w14:paraId="3057EDF9" w14:textId="77777777" w:rsidR="00640F8D" w:rsidRPr="002F20B6" w:rsidRDefault="00DF74F4" w:rsidP="008D4CC2">
            <w:pPr>
              <w:ind w:leftChars="90" w:left="288" w:firstLineChars="148" w:firstLine="355"/>
              <w:jc w:val="both"/>
              <w:rPr>
                <w:rFonts w:hAnsi="標楷體" w:hint="eastAsia"/>
                <w:color w:val="000000"/>
                <w:sz w:val="24"/>
              </w:rPr>
            </w:pPr>
            <w:r w:rsidRPr="00640F8D">
              <w:rPr>
                <w:rFonts w:hAnsi="標楷體"/>
                <w:color w:val="000000"/>
                <w:sz w:val="24"/>
              </w:rPr>
              <w:t>第一項緝獲物價值以海關核定完稅之價格為</w:t>
            </w:r>
            <w:proofErr w:type="gramStart"/>
            <w:r w:rsidRPr="00640F8D">
              <w:rPr>
                <w:rFonts w:hAnsi="標楷體"/>
                <w:color w:val="000000"/>
                <w:sz w:val="24"/>
              </w:rPr>
              <w:t>準</w:t>
            </w:r>
            <w:proofErr w:type="gramEnd"/>
            <w:r w:rsidRPr="00640F8D">
              <w:rPr>
                <w:rFonts w:hAnsi="標楷體"/>
                <w:color w:val="000000"/>
                <w:sz w:val="24"/>
              </w:rPr>
              <w:t>。</w:t>
            </w:r>
          </w:p>
        </w:tc>
        <w:tc>
          <w:tcPr>
            <w:tcW w:w="2845" w:type="dxa"/>
          </w:tcPr>
          <w:p w14:paraId="38514864" w14:textId="77777777" w:rsidR="00640F8D" w:rsidRPr="00640F8D" w:rsidRDefault="00640F8D" w:rsidP="00640F8D">
            <w:pPr>
              <w:ind w:left="286" w:hangingChars="119" w:hanging="286"/>
              <w:jc w:val="both"/>
              <w:rPr>
                <w:rFonts w:hAnsi="標楷體"/>
                <w:color w:val="000000"/>
                <w:sz w:val="24"/>
              </w:rPr>
            </w:pPr>
            <w:r w:rsidRPr="00640F8D">
              <w:rPr>
                <w:rFonts w:hAnsi="標楷體"/>
                <w:color w:val="000000"/>
                <w:sz w:val="24"/>
              </w:rPr>
              <w:lastRenderedPageBreak/>
              <w:t>第七條</w:t>
            </w:r>
            <w:r>
              <w:rPr>
                <w:rFonts w:hAnsi="標楷體" w:hint="eastAsia"/>
                <w:color w:val="000000"/>
                <w:sz w:val="24"/>
              </w:rPr>
              <w:t xml:space="preserve"> </w:t>
            </w:r>
            <w:r w:rsidRPr="00640F8D">
              <w:rPr>
                <w:rFonts w:hAnsi="標楷體"/>
                <w:color w:val="000000"/>
                <w:sz w:val="24"/>
              </w:rPr>
              <w:t>檢舉走私進口動植物及其產品依緝獲物價值比率核發檢舉人獎金如下：</w:t>
            </w:r>
          </w:p>
          <w:p w14:paraId="2153037D"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價值在新臺幣三萬元以下者，按百分之三十計算。</w:t>
            </w:r>
          </w:p>
          <w:p w14:paraId="08B9A01D"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價值超過新臺幣三萬元至十五萬元者，其超額部分，按百分之二十七計算。</w:t>
            </w:r>
          </w:p>
          <w:p w14:paraId="544039DF"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價值超過新臺幣十五萬元至三十萬元者，其超額部分，按百分之二十四計算。</w:t>
            </w:r>
          </w:p>
          <w:p w14:paraId="3EF908D6"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價值超過新臺幣三十萬元至六十萬元者，其超額部分，按百分之二十一計算。</w:t>
            </w:r>
          </w:p>
          <w:p w14:paraId="72D4D800"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價值超過新臺幣六十萬元至九十萬元者，其超額部分，按百分之十八計算。</w:t>
            </w:r>
          </w:p>
          <w:p w14:paraId="6A6F652B"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價值超過新臺幣九十萬元至一百二十萬元者，其超額部分，按百分之十五計算。</w:t>
            </w:r>
          </w:p>
          <w:p w14:paraId="4E89157C"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lastRenderedPageBreak/>
              <w:t>價值超過新臺幣一百二十萬元至一百五十萬元者，其超額部分，按百分之十二計算。</w:t>
            </w:r>
          </w:p>
          <w:p w14:paraId="7C0A2157"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價值超過新臺幣一百五十萬元至三百萬元者，其超額部分，按百分之九計算。</w:t>
            </w:r>
          </w:p>
          <w:p w14:paraId="2BAE0B01" w14:textId="77777777" w:rsidR="00640F8D" w:rsidRPr="00640F8D" w:rsidRDefault="00640F8D" w:rsidP="00041DE3">
            <w:pPr>
              <w:numPr>
                <w:ilvl w:val="0"/>
                <w:numId w:val="11"/>
              </w:numPr>
              <w:ind w:hanging="572"/>
              <w:jc w:val="both"/>
              <w:rPr>
                <w:rFonts w:hAnsi="標楷體"/>
                <w:color w:val="000000"/>
                <w:sz w:val="24"/>
              </w:rPr>
            </w:pPr>
            <w:r w:rsidRPr="00640F8D">
              <w:rPr>
                <w:rFonts w:hAnsi="標楷體"/>
                <w:color w:val="000000"/>
                <w:sz w:val="24"/>
              </w:rPr>
              <w:t>價值超過新臺幣</w:t>
            </w:r>
            <w:proofErr w:type="gramStart"/>
            <w:r w:rsidRPr="00640F8D">
              <w:rPr>
                <w:rFonts w:hAnsi="標楷體"/>
                <w:color w:val="000000"/>
                <w:sz w:val="24"/>
              </w:rPr>
              <w:t>三</w:t>
            </w:r>
            <w:proofErr w:type="gramEnd"/>
            <w:r w:rsidRPr="00640F8D">
              <w:rPr>
                <w:rFonts w:hAnsi="標楷體"/>
                <w:color w:val="000000"/>
                <w:sz w:val="24"/>
              </w:rPr>
              <w:t>百萬元以上者，其超額部分，按百分之六計算。</w:t>
            </w:r>
          </w:p>
          <w:p w14:paraId="4EE8FDB4" w14:textId="77777777" w:rsidR="00640F8D" w:rsidRPr="00640F8D" w:rsidRDefault="002663AD" w:rsidP="002663AD">
            <w:pPr>
              <w:ind w:leftChars="90" w:left="288" w:firstLineChars="148" w:firstLine="355"/>
              <w:jc w:val="both"/>
              <w:rPr>
                <w:rFonts w:hAnsi="標楷體"/>
                <w:color w:val="000000"/>
                <w:sz w:val="24"/>
              </w:rPr>
            </w:pPr>
            <w:r>
              <w:rPr>
                <w:rFonts w:hAnsi="標楷體" w:hint="eastAsia"/>
                <w:color w:val="000000"/>
                <w:sz w:val="24"/>
              </w:rPr>
              <w:t xml:space="preserve"> </w:t>
            </w:r>
            <w:r w:rsidR="00640F8D" w:rsidRPr="00640F8D">
              <w:rPr>
                <w:rFonts w:hAnsi="標楷體"/>
                <w:color w:val="000000"/>
                <w:sz w:val="24"/>
              </w:rPr>
              <w:t>前項獎金最高金額新臺幣五百萬元為限，</w:t>
            </w:r>
            <w:r w:rsidR="00640F8D" w:rsidRPr="008D4CC2">
              <w:rPr>
                <w:rFonts w:hAnsi="標楷體"/>
                <w:color w:val="000000"/>
                <w:sz w:val="24"/>
                <w:u w:val="single"/>
              </w:rPr>
              <w:t>查緝機關實際參與人員依前項各款減半計算，最高金額以新臺幣二百五十萬元為限。</w:t>
            </w:r>
            <w:r w:rsidR="00640F8D" w:rsidRPr="00640F8D">
              <w:rPr>
                <w:rFonts w:hAnsi="標楷體"/>
                <w:color w:val="000000"/>
                <w:sz w:val="24"/>
              </w:rPr>
              <w:t>其他法令規定之檢舉獎金優於本辦法者，從其規定，擇</w:t>
            </w:r>
            <w:proofErr w:type="gramStart"/>
            <w:r w:rsidR="00640F8D" w:rsidRPr="00640F8D">
              <w:rPr>
                <w:rFonts w:hAnsi="標楷體"/>
                <w:color w:val="000000"/>
                <w:sz w:val="24"/>
              </w:rPr>
              <w:t>一</w:t>
            </w:r>
            <w:proofErr w:type="gramEnd"/>
            <w:r w:rsidR="00640F8D" w:rsidRPr="00640F8D">
              <w:rPr>
                <w:rFonts w:hAnsi="標楷體"/>
                <w:color w:val="000000"/>
                <w:sz w:val="24"/>
              </w:rPr>
              <w:t>領取。</w:t>
            </w:r>
          </w:p>
          <w:p w14:paraId="5B59C226" w14:textId="77777777" w:rsidR="00640F8D" w:rsidRDefault="002663AD" w:rsidP="002663AD">
            <w:pPr>
              <w:ind w:leftChars="90" w:left="288" w:firstLineChars="148" w:firstLine="355"/>
              <w:jc w:val="both"/>
              <w:rPr>
                <w:rFonts w:hAnsi="標楷體" w:hint="eastAsia"/>
                <w:color w:val="000000"/>
                <w:sz w:val="24"/>
              </w:rPr>
            </w:pPr>
            <w:r>
              <w:rPr>
                <w:rFonts w:hAnsi="標楷體" w:hint="eastAsia"/>
                <w:color w:val="000000"/>
                <w:sz w:val="24"/>
              </w:rPr>
              <w:t xml:space="preserve"> </w:t>
            </w:r>
            <w:r w:rsidR="00640F8D" w:rsidRPr="00640F8D">
              <w:rPr>
                <w:rFonts w:hAnsi="標楷體"/>
                <w:color w:val="000000"/>
                <w:sz w:val="24"/>
              </w:rPr>
              <w:t>檢舉獎金，經檢察官提起公訴後，給與檢舉人獎金二分之一，經法院判決有罪確定後，再給與其餘獎金。但檢察官認定有犯罪事實依法為不起訴處分或緩起訴者，給與檢舉人二分之一獎金。</w:t>
            </w:r>
          </w:p>
          <w:p w14:paraId="1D7A0AE4" w14:textId="77777777" w:rsidR="00640F8D" w:rsidRPr="00640F8D" w:rsidRDefault="00640F8D" w:rsidP="002663AD">
            <w:pPr>
              <w:ind w:leftChars="90" w:left="288" w:firstLineChars="148" w:firstLine="355"/>
              <w:jc w:val="both"/>
              <w:rPr>
                <w:rFonts w:hAnsi="標楷體"/>
                <w:color w:val="000000"/>
                <w:sz w:val="24"/>
              </w:rPr>
            </w:pPr>
            <w:r w:rsidRPr="00640F8D">
              <w:rPr>
                <w:rFonts w:hAnsi="標楷體"/>
                <w:color w:val="000000"/>
                <w:sz w:val="24"/>
              </w:rPr>
              <w:t>檢舉獎金，分別於檢察官提起公訴、不起訴處分或緩起訴時及</w:t>
            </w:r>
            <w:r w:rsidRPr="00640F8D">
              <w:rPr>
                <w:rFonts w:hAnsi="標楷體"/>
                <w:color w:val="000000"/>
                <w:sz w:val="24"/>
              </w:rPr>
              <w:lastRenderedPageBreak/>
              <w:t>經法院判決有罪確定時，由受理檢舉機關通知檢舉人親自具名領取。</w:t>
            </w:r>
          </w:p>
          <w:p w14:paraId="6E00938F" w14:textId="77777777" w:rsidR="00640F8D" w:rsidRPr="00640F8D" w:rsidRDefault="002663AD" w:rsidP="002663AD">
            <w:pPr>
              <w:ind w:leftChars="90" w:left="288" w:firstLineChars="148" w:firstLine="355"/>
              <w:jc w:val="both"/>
              <w:rPr>
                <w:rFonts w:hAnsi="標楷體"/>
                <w:color w:val="000000"/>
                <w:sz w:val="24"/>
              </w:rPr>
            </w:pPr>
            <w:r>
              <w:rPr>
                <w:rFonts w:hAnsi="標楷體" w:hint="eastAsia"/>
                <w:color w:val="000000"/>
                <w:sz w:val="24"/>
              </w:rPr>
              <w:t xml:space="preserve"> </w:t>
            </w:r>
            <w:r w:rsidR="00640F8D" w:rsidRPr="00640F8D">
              <w:rPr>
                <w:rFonts w:hAnsi="標楷體"/>
                <w:color w:val="000000"/>
                <w:sz w:val="24"/>
              </w:rPr>
              <w:t>前項已發給之獎金，經判決無罪確定者，不予追回。</w:t>
            </w:r>
          </w:p>
          <w:p w14:paraId="2729C0C6" w14:textId="77777777" w:rsidR="00640F8D" w:rsidRPr="00640F8D" w:rsidRDefault="002663AD" w:rsidP="002663AD">
            <w:pPr>
              <w:ind w:leftChars="90" w:left="288" w:firstLineChars="148" w:firstLine="355"/>
              <w:jc w:val="both"/>
              <w:rPr>
                <w:rFonts w:hAnsi="標楷體"/>
                <w:color w:val="000000"/>
                <w:sz w:val="24"/>
              </w:rPr>
            </w:pPr>
            <w:r>
              <w:rPr>
                <w:rFonts w:hAnsi="標楷體" w:hint="eastAsia"/>
                <w:color w:val="000000"/>
                <w:sz w:val="24"/>
              </w:rPr>
              <w:t xml:space="preserve"> </w:t>
            </w:r>
            <w:r w:rsidR="00640F8D" w:rsidRPr="00640F8D">
              <w:rPr>
                <w:rFonts w:hAnsi="標楷體"/>
                <w:color w:val="000000"/>
                <w:sz w:val="24"/>
              </w:rPr>
              <w:t>檢舉人有數人時，獎金平均分配；其有先後者，獎金給與最先檢舉人。但其餘檢舉人檢舉資料，對於破案有直接重要幫助者，得酌情給獎。</w:t>
            </w:r>
          </w:p>
          <w:p w14:paraId="07D52E18" w14:textId="77777777" w:rsidR="00640F8D" w:rsidRPr="00640F8D" w:rsidRDefault="00640F8D" w:rsidP="00595B51">
            <w:pPr>
              <w:ind w:leftChars="90" w:left="288" w:firstLineChars="224" w:firstLine="538"/>
              <w:jc w:val="both"/>
              <w:rPr>
                <w:rFonts w:hAnsi="標楷體" w:hint="eastAsia"/>
                <w:color w:val="000000"/>
                <w:sz w:val="24"/>
              </w:rPr>
            </w:pPr>
            <w:r w:rsidRPr="00640F8D">
              <w:rPr>
                <w:rFonts w:hAnsi="標楷體"/>
                <w:color w:val="000000"/>
                <w:sz w:val="24"/>
              </w:rPr>
              <w:t>第一項緝獲物價值以海關核定完稅之價格為</w:t>
            </w:r>
            <w:proofErr w:type="gramStart"/>
            <w:r w:rsidRPr="00640F8D">
              <w:rPr>
                <w:rFonts w:hAnsi="標楷體"/>
                <w:color w:val="000000"/>
                <w:sz w:val="24"/>
              </w:rPr>
              <w:t>準</w:t>
            </w:r>
            <w:proofErr w:type="gramEnd"/>
            <w:r w:rsidRPr="00640F8D">
              <w:rPr>
                <w:rFonts w:hAnsi="標楷體"/>
                <w:color w:val="000000"/>
                <w:sz w:val="24"/>
              </w:rPr>
              <w:t>。</w:t>
            </w:r>
          </w:p>
        </w:tc>
        <w:tc>
          <w:tcPr>
            <w:tcW w:w="2724" w:type="dxa"/>
          </w:tcPr>
          <w:p w14:paraId="1856111C" w14:textId="77777777" w:rsidR="002F75CE" w:rsidRDefault="002F75CE" w:rsidP="002F75CE">
            <w:pPr>
              <w:numPr>
                <w:ilvl w:val="0"/>
                <w:numId w:val="4"/>
              </w:numPr>
              <w:tabs>
                <w:tab w:val="clear" w:pos="2040"/>
                <w:tab w:val="num" w:pos="434"/>
              </w:tabs>
              <w:ind w:left="614" w:hanging="614"/>
              <w:jc w:val="both"/>
              <w:rPr>
                <w:rFonts w:hAnsi="標楷體" w:hint="eastAsia"/>
                <w:color w:val="000000"/>
                <w:sz w:val="24"/>
              </w:rPr>
            </w:pPr>
            <w:r>
              <w:rPr>
                <w:rFonts w:hAnsi="標楷體" w:hint="eastAsia"/>
                <w:color w:val="000000"/>
                <w:sz w:val="24"/>
              </w:rPr>
              <w:lastRenderedPageBreak/>
              <w:t>依據行政院秘書長</w:t>
            </w:r>
            <w:r w:rsidR="008623A0">
              <w:rPr>
                <w:rFonts w:hAnsi="標楷體" w:hint="eastAsia"/>
                <w:color w:val="000000"/>
                <w:sz w:val="24"/>
              </w:rPr>
              <w:t>一○○</w:t>
            </w:r>
            <w:r>
              <w:rPr>
                <w:rFonts w:hAnsi="標楷體" w:hint="eastAsia"/>
                <w:color w:val="000000"/>
                <w:sz w:val="24"/>
              </w:rPr>
              <w:t>年</w:t>
            </w:r>
            <w:r w:rsidR="008623A0">
              <w:rPr>
                <w:rFonts w:hAnsi="標楷體" w:hint="eastAsia"/>
                <w:color w:val="000000"/>
                <w:sz w:val="24"/>
              </w:rPr>
              <w:t>五</w:t>
            </w:r>
            <w:r>
              <w:rPr>
                <w:rFonts w:hAnsi="標楷體" w:hint="eastAsia"/>
                <w:color w:val="000000"/>
                <w:sz w:val="24"/>
              </w:rPr>
              <w:t>月</w:t>
            </w:r>
            <w:r w:rsidR="008623A0">
              <w:rPr>
                <w:rFonts w:hAnsi="標楷體" w:hint="eastAsia"/>
                <w:color w:val="000000"/>
                <w:sz w:val="24"/>
              </w:rPr>
              <w:t>二十</w:t>
            </w:r>
            <w:r w:rsidR="006A551D">
              <w:rPr>
                <w:rFonts w:hAnsi="標楷體" w:hint="eastAsia"/>
                <w:color w:val="000000"/>
                <w:sz w:val="24"/>
              </w:rPr>
              <w:t>四</w:t>
            </w:r>
            <w:r>
              <w:rPr>
                <w:rFonts w:hAnsi="標楷體" w:hint="eastAsia"/>
                <w:color w:val="000000"/>
                <w:sz w:val="24"/>
              </w:rPr>
              <w:t>日院</w:t>
            </w:r>
            <w:proofErr w:type="gramStart"/>
            <w:r>
              <w:rPr>
                <w:rFonts w:hAnsi="標楷體" w:hint="eastAsia"/>
                <w:color w:val="000000"/>
                <w:sz w:val="24"/>
              </w:rPr>
              <w:t>臺農字</w:t>
            </w:r>
            <w:proofErr w:type="gramEnd"/>
            <w:r>
              <w:rPr>
                <w:rFonts w:hAnsi="標楷體" w:hint="eastAsia"/>
                <w:color w:val="000000"/>
                <w:sz w:val="24"/>
              </w:rPr>
              <w:t>第</w:t>
            </w:r>
            <w:r w:rsidR="008623A0">
              <w:rPr>
                <w:rFonts w:hAnsi="標楷體" w:hint="eastAsia"/>
                <w:color w:val="000000"/>
                <w:sz w:val="24"/>
              </w:rPr>
              <w:t>一○○○○一九二八七</w:t>
            </w:r>
            <w:r>
              <w:rPr>
                <w:rFonts w:hAnsi="標楷體" w:hint="eastAsia"/>
                <w:color w:val="000000"/>
                <w:sz w:val="24"/>
              </w:rPr>
              <w:t>號函示：</w:t>
            </w:r>
          </w:p>
          <w:p w14:paraId="38DB101A" w14:textId="77777777" w:rsidR="00640F8D" w:rsidRDefault="002F75CE" w:rsidP="00FC6EAB">
            <w:pPr>
              <w:numPr>
                <w:ilvl w:val="0"/>
                <w:numId w:val="10"/>
              </w:numPr>
              <w:tabs>
                <w:tab w:val="clear" w:pos="2280"/>
              </w:tabs>
              <w:ind w:left="682" w:hanging="540"/>
              <w:jc w:val="both"/>
              <w:rPr>
                <w:rFonts w:hAnsi="標楷體" w:hint="eastAsia"/>
                <w:color w:val="000000"/>
                <w:sz w:val="24"/>
              </w:rPr>
            </w:pPr>
            <w:r>
              <w:rPr>
                <w:rFonts w:hAnsi="標楷體" w:hint="eastAsia"/>
                <w:color w:val="000000"/>
                <w:sz w:val="24"/>
              </w:rPr>
              <w:t>經查「財務罰鍰給獎分配辦法」之母法「財務罰鍰處理暫行條例」，業於</w:t>
            </w:r>
            <w:r w:rsidR="00B263AE">
              <w:rPr>
                <w:rFonts w:hAnsi="標楷體" w:hint="eastAsia"/>
                <w:color w:val="000000"/>
                <w:sz w:val="24"/>
              </w:rPr>
              <w:t>九十三</w:t>
            </w:r>
            <w:r>
              <w:rPr>
                <w:rFonts w:hAnsi="標楷體" w:hint="eastAsia"/>
                <w:color w:val="000000"/>
                <w:sz w:val="24"/>
              </w:rPr>
              <w:t>年</w:t>
            </w:r>
            <w:r w:rsidR="00B263AE">
              <w:rPr>
                <w:rFonts w:hAnsi="標楷體" w:hint="eastAsia"/>
                <w:color w:val="000000"/>
                <w:sz w:val="24"/>
              </w:rPr>
              <w:t>四</w:t>
            </w:r>
            <w:r>
              <w:rPr>
                <w:rFonts w:hAnsi="標楷體" w:hint="eastAsia"/>
                <w:color w:val="000000"/>
                <w:sz w:val="24"/>
              </w:rPr>
              <w:t>月</w:t>
            </w:r>
            <w:r w:rsidR="00B263AE">
              <w:rPr>
                <w:rFonts w:hAnsi="標楷體" w:hint="eastAsia"/>
                <w:color w:val="000000"/>
                <w:sz w:val="24"/>
              </w:rPr>
              <w:t>二十一</w:t>
            </w:r>
            <w:r>
              <w:rPr>
                <w:rFonts w:hAnsi="標楷體" w:hint="eastAsia"/>
                <w:color w:val="000000"/>
                <w:sz w:val="24"/>
              </w:rPr>
              <w:t>日修正刪除主、協辦查緝機關人員核發獎金之規定，</w:t>
            </w:r>
            <w:proofErr w:type="gramStart"/>
            <w:r>
              <w:rPr>
                <w:rFonts w:hAnsi="標楷體" w:hint="eastAsia"/>
                <w:color w:val="000000"/>
                <w:sz w:val="24"/>
              </w:rPr>
              <w:t>爰</w:t>
            </w:r>
            <w:proofErr w:type="gramEnd"/>
            <w:r>
              <w:rPr>
                <w:rFonts w:hAnsi="標楷體" w:hint="eastAsia"/>
                <w:color w:val="000000"/>
                <w:sz w:val="24"/>
              </w:rPr>
              <w:t>自該修正條文施行後</w:t>
            </w:r>
            <w:r w:rsidR="00CF2DCD">
              <w:rPr>
                <w:rFonts w:hAnsi="標楷體" w:hint="eastAsia"/>
                <w:color w:val="000000"/>
                <w:sz w:val="24"/>
              </w:rPr>
              <w:t>，海關即未再針對新查獲案件編列預算及核發查緝機關獎金。</w:t>
            </w:r>
            <w:proofErr w:type="gramStart"/>
            <w:r w:rsidR="00CF2DCD">
              <w:rPr>
                <w:rFonts w:hAnsi="標楷體" w:hint="eastAsia"/>
                <w:color w:val="000000"/>
                <w:sz w:val="24"/>
              </w:rPr>
              <w:t>鑑</w:t>
            </w:r>
            <w:proofErr w:type="gramEnd"/>
            <w:r w:rsidR="00CF2DCD">
              <w:rPr>
                <w:rFonts w:hAnsi="標楷體" w:hint="eastAsia"/>
                <w:color w:val="000000"/>
                <w:sz w:val="24"/>
              </w:rPr>
              <w:t>於走私</w:t>
            </w:r>
            <w:r w:rsidR="00A300AB">
              <w:rPr>
                <w:rFonts w:hAnsi="標楷體" w:hint="eastAsia"/>
                <w:color w:val="000000"/>
                <w:sz w:val="24"/>
              </w:rPr>
              <w:t>進口動植物與走私進口農產品之查緝標的性質相似</w:t>
            </w:r>
            <w:r>
              <w:rPr>
                <w:rFonts w:hAnsi="標楷體" w:hint="eastAsia"/>
                <w:color w:val="000000"/>
                <w:sz w:val="24"/>
              </w:rPr>
              <w:t>，</w:t>
            </w:r>
            <w:r w:rsidR="00A300AB">
              <w:rPr>
                <w:rFonts w:hAnsi="標楷體" w:hint="eastAsia"/>
                <w:color w:val="000000"/>
                <w:sz w:val="24"/>
              </w:rPr>
              <w:t>且</w:t>
            </w:r>
            <w:r w:rsidR="00FC6EAB">
              <w:rPr>
                <w:rFonts w:hAnsi="標楷體" w:hint="eastAsia"/>
                <w:color w:val="000000"/>
                <w:sz w:val="24"/>
              </w:rPr>
              <w:t>沒</w:t>
            </w:r>
            <w:r w:rsidR="00A300AB">
              <w:rPr>
                <w:rFonts w:hAnsi="標楷體" w:hint="eastAsia"/>
                <w:color w:val="000000"/>
                <w:sz w:val="24"/>
              </w:rPr>
              <w:t>入</w:t>
            </w:r>
            <w:proofErr w:type="gramStart"/>
            <w:r w:rsidR="00FC6EAB">
              <w:rPr>
                <w:rFonts w:hAnsi="標楷體" w:hint="eastAsia"/>
                <w:color w:val="000000"/>
                <w:sz w:val="24"/>
              </w:rPr>
              <w:t>品均屬無法</w:t>
            </w:r>
            <w:proofErr w:type="gramEnd"/>
            <w:r w:rsidR="00FC6EAB">
              <w:rPr>
                <w:rFonts w:hAnsi="標楷體" w:hint="eastAsia"/>
                <w:color w:val="000000"/>
                <w:sz w:val="24"/>
              </w:rPr>
              <w:t>變價物，並</w:t>
            </w:r>
            <w:r w:rsidR="00293339">
              <w:rPr>
                <w:rFonts w:hAnsi="標楷體" w:hint="eastAsia"/>
                <w:color w:val="000000"/>
                <w:sz w:val="24"/>
              </w:rPr>
              <w:t>無相對收入供作查緝獎金之財源，基於公平及一致性原則，本辦法不宜核發查緝獎金。</w:t>
            </w:r>
          </w:p>
          <w:p w14:paraId="47058060" w14:textId="77777777" w:rsidR="00293339" w:rsidRDefault="00293339" w:rsidP="00FC6EAB">
            <w:pPr>
              <w:numPr>
                <w:ilvl w:val="0"/>
                <w:numId w:val="10"/>
              </w:numPr>
              <w:tabs>
                <w:tab w:val="clear" w:pos="2280"/>
              </w:tabs>
              <w:ind w:left="682" w:hanging="540"/>
              <w:jc w:val="both"/>
              <w:rPr>
                <w:rFonts w:hAnsi="標楷體" w:hint="eastAsia"/>
                <w:color w:val="000000"/>
                <w:sz w:val="24"/>
              </w:rPr>
            </w:pPr>
            <w:r>
              <w:rPr>
                <w:rFonts w:hAnsi="標楷體" w:hint="eastAsia"/>
                <w:color w:val="000000"/>
                <w:sz w:val="24"/>
              </w:rPr>
              <w:t>按依本院秘書長</w:t>
            </w:r>
            <w:r w:rsidR="00B263AE">
              <w:rPr>
                <w:rFonts w:hAnsi="標楷體" w:hint="eastAsia"/>
                <w:color w:val="000000"/>
                <w:sz w:val="24"/>
              </w:rPr>
              <w:t>一○○</w:t>
            </w:r>
            <w:r>
              <w:rPr>
                <w:rFonts w:hAnsi="標楷體" w:hint="eastAsia"/>
                <w:color w:val="000000"/>
                <w:sz w:val="24"/>
              </w:rPr>
              <w:t>年</w:t>
            </w:r>
            <w:r w:rsidR="00B263AE">
              <w:rPr>
                <w:rFonts w:hAnsi="標楷體" w:hint="eastAsia"/>
                <w:color w:val="000000"/>
                <w:sz w:val="24"/>
              </w:rPr>
              <w:t>三</w:t>
            </w:r>
            <w:r>
              <w:rPr>
                <w:rFonts w:hAnsi="標楷體" w:hint="eastAsia"/>
                <w:color w:val="000000"/>
                <w:sz w:val="24"/>
              </w:rPr>
              <w:t>月</w:t>
            </w:r>
            <w:r w:rsidR="00B263AE">
              <w:rPr>
                <w:rFonts w:hAnsi="標楷體" w:hint="eastAsia"/>
                <w:color w:val="000000"/>
                <w:sz w:val="24"/>
              </w:rPr>
              <w:t>十四</w:t>
            </w:r>
            <w:r>
              <w:rPr>
                <w:rFonts w:hAnsi="標楷體" w:hint="eastAsia"/>
                <w:color w:val="000000"/>
                <w:sz w:val="24"/>
              </w:rPr>
              <w:t>日院</w:t>
            </w:r>
            <w:proofErr w:type="gramStart"/>
            <w:r>
              <w:rPr>
                <w:rFonts w:hAnsi="標楷體" w:hint="eastAsia"/>
                <w:color w:val="000000"/>
                <w:sz w:val="24"/>
              </w:rPr>
              <w:t>臺農字</w:t>
            </w:r>
            <w:proofErr w:type="gramEnd"/>
            <w:r>
              <w:rPr>
                <w:rFonts w:hAnsi="標楷體" w:hint="eastAsia"/>
                <w:color w:val="000000"/>
                <w:sz w:val="24"/>
              </w:rPr>
              <w:t>第</w:t>
            </w:r>
            <w:r w:rsidR="00B263AE">
              <w:rPr>
                <w:rFonts w:hAnsi="標楷體" w:hint="eastAsia"/>
                <w:color w:val="000000"/>
                <w:sz w:val="24"/>
              </w:rPr>
              <w:lastRenderedPageBreak/>
              <w:t>一○○○○○八一六八</w:t>
            </w:r>
            <w:r>
              <w:rPr>
                <w:rFonts w:hAnsi="標楷體" w:hint="eastAsia"/>
                <w:color w:val="000000"/>
                <w:sz w:val="24"/>
              </w:rPr>
              <w:t>號函略</w:t>
            </w:r>
            <w:proofErr w:type="gramStart"/>
            <w:r>
              <w:rPr>
                <w:rFonts w:hAnsi="標楷體" w:hint="eastAsia"/>
                <w:color w:val="000000"/>
                <w:sz w:val="24"/>
              </w:rPr>
              <w:t>以</w:t>
            </w:r>
            <w:proofErr w:type="gramEnd"/>
            <w:r>
              <w:rPr>
                <w:rFonts w:hAnsi="標楷體" w:hint="eastAsia"/>
                <w:color w:val="000000"/>
                <w:sz w:val="24"/>
              </w:rPr>
              <w:t>，公務人員辦理本職業務，如確有值得獎勵事項，應依公務員考績法令、獎章條例、勳章條例、本院表揚模範公務人員要點等規定辦理，並得依公務人員品德修養及工作潛能激勵辦法、公務人員領有勳章獎章榮譽紀念章發給獎勵金實施要點等相關規定頒給獎金。</w:t>
            </w:r>
          </w:p>
          <w:p w14:paraId="391AAEEE" w14:textId="77777777" w:rsidR="00641F85" w:rsidRDefault="00641F85" w:rsidP="00641F85">
            <w:pPr>
              <w:numPr>
                <w:ilvl w:val="0"/>
                <w:numId w:val="4"/>
              </w:numPr>
              <w:tabs>
                <w:tab w:val="clear" w:pos="2040"/>
                <w:tab w:val="num" w:pos="434"/>
              </w:tabs>
              <w:ind w:left="614" w:hanging="614"/>
              <w:jc w:val="both"/>
              <w:rPr>
                <w:rFonts w:hAnsi="標楷體" w:hint="eastAsia"/>
                <w:color w:val="000000"/>
                <w:sz w:val="24"/>
              </w:rPr>
            </w:pPr>
            <w:proofErr w:type="gramStart"/>
            <w:r>
              <w:rPr>
                <w:rFonts w:hAnsi="標楷體" w:hint="eastAsia"/>
                <w:color w:val="000000"/>
                <w:sz w:val="24"/>
              </w:rPr>
              <w:t>爰</w:t>
            </w:r>
            <w:proofErr w:type="gramEnd"/>
            <w:r>
              <w:rPr>
                <w:rFonts w:hAnsi="標楷體" w:hint="eastAsia"/>
                <w:color w:val="000000"/>
                <w:sz w:val="24"/>
              </w:rPr>
              <w:t>刪除</w:t>
            </w:r>
            <w:r w:rsidR="00B263AE">
              <w:rPr>
                <w:rFonts w:hAnsi="標楷體" w:hint="eastAsia"/>
                <w:color w:val="000000"/>
                <w:sz w:val="24"/>
              </w:rPr>
              <w:t>第二項</w:t>
            </w:r>
            <w:r w:rsidR="009338B9">
              <w:rPr>
                <w:rFonts w:hAnsi="標楷體" w:hint="eastAsia"/>
                <w:color w:val="000000"/>
                <w:sz w:val="24"/>
              </w:rPr>
              <w:t>有關</w:t>
            </w:r>
            <w:r w:rsidR="0027762A">
              <w:rPr>
                <w:rFonts w:hAnsi="標楷體" w:hint="eastAsia"/>
                <w:color w:val="000000"/>
                <w:sz w:val="24"/>
              </w:rPr>
              <w:t>查緝機關</w:t>
            </w:r>
            <w:r w:rsidR="008D5377">
              <w:rPr>
                <w:rFonts w:hAnsi="標楷體" w:hint="eastAsia"/>
                <w:color w:val="000000"/>
                <w:sz w:val="24"/>
              </w:rPr>
              <w:t>實際參與</w:t>
            </w:r>
            <w:r w:rsidR="0027762A">
              <w:rPr>
                <w:rFonts w:hAnsi="標楷體" w:hint="eastAsia"/>
                <w:color w:val="000000"/>
                <w:sz w:val="24"/>
              </w:rPr>
              <w:t>人員可請領</w:t>
            </w:r>
            <w:r w:rsidR="00B263AE">
              <w:rPr>
                <w:rFonts w:hAnsi="標楷體" w:hint="eastAsia"/>
                <w:color w:val="000000"/>
                <w:sz w:val="24"/>
              </w:rPr>
              <w:t>獎金之規定</w:t>
            </w:r>
            <w:r w:rsidR="009338B9">
              <w:rPr>
                <w:rFonts w:hAnsi="標楷體" w:hint="eastAsia"/>
                <w:color w:val="000000"/>
                <w:sz w:val="24"/>
              </w:rPr>
              <w:t>。另為確定</w:t>
            </w:r>
            <w:r w:rsidR="00DC6619">
              <w:rPr>
                <w:rFonts w:hAnsi="標楷體" w:hint="eastAsia"/>
                <w:color w:val="000000"/>
                <w:sz w:val="24"/>
              </w:rPr>
              <w:t>最高獎金之</w:t>
            </w:r>
            <w:r w:rsidR="009338B9">
              <w:rPr>
                <w:rFonts w:hAnsi="標楷體" w:hint="eastAsia"/>
                <w:color w:val="000000"/>
                <w:sz w:val="24"/>
              </w:rPr>
              <w:t>計算基準，明定「每季」為其計算基準</w:t>
            </w:r>
            <w:r w:rsidR="00DC6619">
              <w:rPr>
                <w:rFonts w:hAnsi="標楷體" w:hint="eastAsia"/>
                <w:color w:val="000000"/>
                <w:sz w:val="24"/>
              </w:rPr>
              <w:t>。</w:t>
            </w:r>
          </w:p>
          <w:p w14:paraId="4FB5A1F3" w14:textId="77777777" w:rsidR="009338B9" w:rsidRPr="002F20B6" w:rsidRDefault="009338B9" w:rsidP="00641F85">
            <w:pPr>
              <w:numPr>
                <w:ilvl w:val="0"/>
                <w:numId w:val="4"/>
              </w:numPr>
              <w:tabs>
                <w:tab w:val="clear" w:pos="2040"/>
                <w:tab w:val="num" w:pos="434"/>
              </w:tabs>
              <w:ind w:left="614" w:hanging="614"/>
              <w:jc w:val="both"/>
              <w:rPr>
                <w:rFonts w:hAnsi="標楷體" w:hint="eastAsia"/>
                <w:color w:val="000000"/>
                <w:sz w:val="24"/>
              </w:rPr>
            </w:pPr>
            <w:r>
              <w:rPr>
                <w:rFonts w:hAnsi="標楷體" w:hint="eastAsia"/>
                <w:color w:val="000000"/>
                <w:sz w:val="24"/>
              </w:rPr>
              <w:t>其餘未修正。</w:t>
            </w:r>
          </w:p>
        </w:tc>
      </w:tr>
      <w:tr w:rsidR="00640F8D" w:rsidRPr="002F20B6" w14:paraId="1766A98D" w14:textId="77777777" w:rsidTr="00640F8D">
        <w:tc>
          <w:tcPr>
            <w:tcW w:w="2845" w:type="dxa"/>
          </w:tcPr>
          <w:p w14:paraId="171D3DDE" w14:textId="77777777" w:rsidR="00DF74F4" w:rsidRPr="00640F8D" w:rsidRDefault="00DF74F4" w:rsidP="00DF74F4">
            <w:pPr>
              <w:ind w:leftChars="-22" w:left="285" w:hangingChars="148" w:hanging="355"/>
              <w:jc w:val="both"/>
              <w:rPr>
                <w:rFonts w:hAnsi="標楷體"/>
                <w:color w:val="000000"/>
                <w:sz w:val="24"/>
              </w:rPr>
            </w:pPr>
            <w:r w:rsidRPr="00640F8D">
              <w:rPr>
                <w:rFonts w:hAnsi="標楷體"/>
                <w:color w:val="000000"/>
                <w:sz w:val="24"/>
              </w:rPr>
              <w:lastRenderedPageBreak/>
              <w:t>第七條之</w:t>
            </w:r>
            <w:proofErr w:type="gramStart"/>
            <w:r w:rsidRPr="00640F8D">
              <w:rPr>
                <w:rFonts w:hAnsi="標楷體"/>
                <w:color w:val="000000"/>
                <w:sz w:val="24"/>
              </w:rPr>
              <w:t>一</w:t>
            </w:r>
            <w:proofErr w:type="gramEnd"/>
            <w:r>
              <w:rPr>
                <w:rFonts w:hAnsi="標楷體" w:hint="eastAsia"/>
                <w:color w:val="000000"/>
                <w:sz w:val="24"/>
              </w:rPr>
              <w:t xml:space="preserve">  </w:t>
            </w:r>
            <w:r w:rsidRPr="00640F8D">
              <w:rPr>
                <w:rFonts w:hAnsi="標楷體"/>
                <w:color w:val="000000"/>
                <w:sz w:val="24"/>
              </w:rPr>
              <w:t>檢舉走私進口動物經檢出高病原性家禽流行性感冒病毒、口蹄疫病毒或狂犬病病毒者，檢舉人獎金依前條第一項緝獲物價值十倍計算核發，並以新臺幣五百萬元為限。</w:t>
            </w:r>
          </w:p>
          <w:p w14:paraId="57DB3534" w14:textId="77777777" w:rsidR="00DF74F4" w:rsidRPr="00640F8D" w:rsidRDefault="00DF74F4" w:rsidP="00DF74F4">
            <w:pPr>
              <w:ind w:leftChars="90" w:left="288" w:firstLineChars="224" w:firstLine="538"/>
              <w:jc w:val="both"/>
              <w:rPr>
                <w:rFonts w:hAnsi="標楷體"/>
                <w:color w:val="000000"/>
                <w:sz w:val="24"/>
              </w:rPr>
            </w:pPr>
            <w:r w:rsidRPr="00640F8D">
              <w:rPr>
                <w:rFonts w:hAnsi="標楷體"/>
                <w:color w:val="000000"/>
                <w:sz w:val="24"/>
              </w:rPr>
              <w:t>前項獎金未達新臺幣二十五萬元者，以新臺幣二十五萬元核計。</w:t>
            </w:r>
          </w:p>
          <w:p w14:paraId="0F94F7A4" w14:textId="77777777" w:rsidR="00640F8D" w:rsidRPr="002F20B6" w:rsidRDefault="00DF74F4" w:rsidP="008D4CC2">
            <w:pPr>
              <w:ind w:leftChars="90" w:left="288" w:firstLineChars="224" w:firstLine="538"/>
              <w:jc w:val="both"/>
              <w:rPr>
                <w:rFonts w:hAnsi="標楷體" w:hint="eastAsia"/>
                <w:color w:val="000000"/>
                <w:sz w:val="24"/>
              </w:rPr>
            </w:pPr>
            <w:r w:rsidRPr="00640F8D">
              <w:rPr>
                <w:rFonts w:hAnsi="標楷體"/>
                <w:color w:val="000000"/>
                <w:sz w:val="24"/>
              </w:rPr>
              <w:t>檢舉人獎金之核給、領取，</w:t>
            </w:r>
            <w:proofErr w:type="gramStart"/>
            <w:r w:rsidRPr="00640F8D">
              <w:rPr>
                <w:rFonts w:hAnsi="標楷體"/>
                <w:color w:val="000000"/>
                <w:sz w:val="24"/>
              </w:rPr>
              <w:t>準</w:t>
            </w:r>
            <w:proofErr w:type="gramEnd"/>
            <w:r w:rsidRPr="00640F8D">
              <w:rPr>
                <w:rFonts w:hAnsi="標楷體"/>
                <w:color w:val="000000"/>
                <w:sz w:val="24"/>
              </w:rPr>
              <w:t>用前條第三項至第七項規定。</w:t>
            </w:r>
          </w:p>
        </w:tc>
        <w:tc>
          <w:tcPr>
            <w:tcW w:w="2845" w:type="dxa"/>
          </w:tcPr>
          <w:p w14:paraId="60ED09B2" w14:textId="77777777" w:rsidR="00640F8D" w:rsidRPr="00640F8D" w:rsidRDefault="00595B51" w:rsidP="00595B51">
            <w:pPr>
              <w:ind w:leftChars="-22" w:left="285" w:hangingChars="148" w:hanging="355"/>
              <w:jc w:val="both"/>
              <w:rPr>
                <w:rFonts w:hAnsi="標楷體"/>
                <w:color w:val="000000"/>
                <w:sz w:val="24"/>
              </w:rPr>
            </w:pPr>
            <w:r>
              <w:rPr>
                <w:rFonts w:hAnsi="標楷體" w:hint="eastAsia"/>
                <w:color w:val="000000"/>
                <w:sz w:val="24"/>
              </w:rPr>
              <w:t xml:space="preserve"> </w:t>
            </w:r>
            <w:r w:rsidR="00640F8D" w:rsidRPr="00640F8D">
              <w:rPr>
                <w:rFonts w:hAnsi="標楷體"/>
                <w:color w:val="000000"/>
                <w:sz w:val="24"/>
              </w:rPr>
              <w:t>第七條之</w:t>
            </w:r>
            <w:proofErr w:type="gramStart"/>
            <w:r w:rsidR="00640F8D" w:rsidRPr="00640F8D">
              <w:rPr>
                <w:rFonts w:hAnsi="標楷體"/>
                <w:color w:val="000000"/>
                <w:sz w:val="24"/>
              </w:rPr>
              <w:t>一</w:t>
            </w:r>
            <w:proofErr w:type="gramEnd"/>
            <w:r>
              <w:rPr>
                <w:rFonts w:hAnsi="標楷體" w:hint="eastAsia"/>
                <w:color w:val="000000"/>
                <w:sz w:val="24"/>
              </w:rPr>
              <w:t xml:space="preserve">  </w:t>
            </w:r>
            <w:r w:rsidR="00640F8D" w:rsidRPr="00640F8D">
              <w:rPr>
                <w:rFonts w:hAnsi="標楷體"/>
                <w:color w:val="000000"/>
                <w:sz w:val="24"/>
              </w:rPr>
              <w:t>檢舉走私進口動物經檢出高病原性家禽流行性感冒病毒、口蹄疫病毒或狂犬病病毒者，檢舉人獎金依前條第一項緝獲物價值十倍計算核發，並以新臺幣五百萬元為限。</w:t>
            </w:r>
          </w:p>
          <w:p w14:paraId="0099D792" w14:textId="77777777" w:rsidR="00640F8D" w:rsidRPr="00640F8D" w:rsidRDefault="00640F8D" w:rsidP="00595B51">
            <w:pPr>
              <w:ind w:leftChars="90" w:left="288" w:firstLineChars="224" w:firstLine="538"/>
              <w:jc w:val="both"/>
              <w:rPr>
                <w:rFonts w:hAnsi="標楷體"/>
                <w:color w:val="000000"/>
                <w:sz w:val="24"/>
              </w:rPr>
            </w:pPr>
            <w:r w:rsidRPr="00640F8D">
              <w:rPr>
                <w:rFonts w:hAnsi="標楷體"/>
                <w:color w:val="000000"/>
                <w:sz w:val="24"/>
              </w:rPr>
              <w:t>前項獎金未達新臺幣二十五萬元者，以新臺幣二十五萬元核計。</w:t>
            </w:r>
          </w:p>
          <w:p w14:paraId="28EFB0B7" w14:textId="77777777" w:rsidR="00640F8D" w:rsidRPr="00F75D49" w:rsidRDefault="00640F8D" w:rsidP="00595B51">
            <w:pPr>
              <w:ind w:leftChars="90" w:left="288" w:firstLineChars="224" w:firstLine="538"/>
              <w:jc w:val="both"/>
              <w:rPr>
                <w:rFonts w:hAnsi="標楷體"/>
                <w:color w:val="0000FF"/>
                <w:sz w:val="24"/>
                <w:u w:val="single"/>
              </w:rPr>
            </w:pPr>
            <w:r w:rsidRPr="00F75D49">
              <w:rPr>
                <w:rFonts w:hAnsi="標楷體"/>
                <w:color w:val="0000FF"/>
                <w:sz w:val="24"/>
                <w:u w:val="single"/>
              </w:rPr>
              <w:t>查緝機關實際參與人員仍依前條第二項規定之比率核發獎金。</w:t>
            </w:r>
          </w:p>
          <w:p w14:paraId="0E5B2A8F" w14:textId="77777777" w:rsidR="00640F8D" w:rsidRPr="002F20B6" w:rsidRDefault="00640F8D" w:rsidP="00595B51">
            <w:pPr>
              <w:ind w:leftChars="90" w:left="288" w:firstLineChars="224" w:firstLine="538"/>
              <w:jc w:val="both"/>
              <w:rPr>
                <w:rFonts w:hAnsi="標楷體" w:hint="eastAsia"/>
                <w:color w:val="000000"/>
                <w:sz w:val="24"/>
              </w:rPr>
            </w:pPr>
            <w:r w:rsidRPr="00640F8D">
              <w:rPr>
                <w:rFonts w:hAnsi="標楷體"/>
                <w:color w:val="000000"/>
                <w:sz w:val="24"/>
              </w:rPr>
              <w:t>檢舉人獎金之核給、領取，</w:t>
            </w:r>
            <w:proofErr w:type="gramStart"/>
            <w:r w:rsidRPr="00640F8D">
              <w:rPr>
                <w:rFonts w:hAnsi="標楷體"/>
                <w:color w:val="000000"/>
                <w:sz w:val="24"/>
              </w:rPr>
              <w:t>準</w:t>
            </w:r>
            <w:proofErr w:type="gramEnd"/>
            <w:r w:rsidRPr="00640F8D">
              <w:rPr>
                <w:rFonts w:hAnsi="標楷體"/>
                <w:color w:val="000000"/>
                <w:sz w:val="24"/>
              </w:rPr>
              <w:t>用前條第三項至第七項規定。</w:t>
            </w:r>
          </w:p>
        </w:tc>
        <w:tc>
          <w:tcPr>
            <w:tcW w:w="2724" w:type="dxa"/>
          </w:tcPr>
          <w:p w14:paraId="5A7C7944" w14:textId="77777777" w:rsidR="00640F8D" w:rsidRDefault="00B263AE" w:rsidP="009338B9">
            <w:pPr>
              <w:numPr>
                <w:ilvl w:val="0"/>
                <w:numId w:val="12"/>
              </w:numPr>
              <w:tabs>
                <w:tab w:val="clear" w:pos="719"/>
                <w:tab w:val="num" w:pos="502"/>
              </w:tabs>
              <w:snapToGrid w:val="0"/>
              <w:ind w:left="502" w:hanging="540"/>
              <w:jc w:val="both"/>
              <w:rPr>
                <w:rFonts w:hAnsi="標楷體" w:hint="eastAsia"/>
                <w:color w:val="000000"/>
                <w:sz w:val="24"/>
              </w:rPr>
            </w:pPr>
            <w:r>
              <w:rPr>
                <w:rFonts w:hAnsi="標楷體" w:hint="eastAsia"/>
                <w:color w:val="000000"/>
                <w:sz w:val="24"/>
              </w:rPr>
              <w:t>刪除第三項查緝機關</w:t>
            </w:r>
            <w:r w:rsidR="0010722F">
              <w:rPr>
                <w:rFonts w:hAnsi="標楷體" w:hint="eastAsia"/>
                <w:color w:val="000000"/>
                <w:sz w:val="24"/>
              </w:rPr>
              <w:t>實際參與</w:t>
            </w:r>
            <w:r>
              <w:rPr>
                <w:rFonts w:hAnsi="標楷體" w:hint="eastAsia"/>
                <w:color w:val="000000"/>
                <w:sz w:val="24"/>
              </w:rPr>
              <w:t>人員可請領獎金之規定，其理由同前條之說明</w:t>
            </w:r>
            <w:r w:rsidR="0027762A">
              <w:rPr>
                <w:rFonts w:hAnsi="標楷體" w:hint="eastAsia"/>
                <w:color w:val="000000"/>
                <w:sz w:val="24"/>
              </w:rPr>
              <w:t>。</w:t>
            </w:r>
          </w:p>
          <w:p w14:paraId="74450891" w14:textId="77777777" w:rsidR="009338B9" w:rsidRPr="002F20B6" w:rsidRDefault="009338B9" w:rsidP="009338B9">
            <w:pPr>
              <w:numPr>
                <w:ilvl w:val="0"/>
                <w:numId w:val="12"/>
              </w:numPr>
              <w:tabs>
                <w:tab w:val="clear" w:pos="719"/>
                <w:tab w:val="num" w:pos="502"/>
              </w:tabs>
              <w:snapToGrid w:val="0"/>
              <w:ind w:left="502" w:hanging="540"/>
              <w:jc w:val="both"/>
              <w:rPr>
                <w:rFonts w:hAnsi="標楷體" w:hint="eastAsia"/>
                <w:color w:val="000000"/>
                <w:sz w:val="24"/>
              </w:rPr>
            </w:pPr>
            <w:r>
              <w:rPr>
                <w:rFonts w:hAnsi="標楷體" w:hint="eastAsia"/>
                <w:color w:val="000000"/>
                <w:sz w:val="24"/>
              </w:rPr>
              <w:t>其餘未修正。</w:t>
            </w:r>
          </w:p>
        </w:tc>
      </w:tr>
      <w:tr w:rsidR="00F75D49" w:rsidRPr="002F20B6" w14:paraId="68793DFA" w14:textId="77777777" w:rsidTr="00640F8D">
        <w:tc>
          <w:tcPr>
            <w:tcW w:w="2845" w:type="dxa"/>
          </w:tcPr>
          <w:p w14:paraId="588337E6" w14:textId="77777777" w:rsidR="00F75D49" w:rsidRPr="00472E99" w:rsidRDefault="00F75D49" w:rsidP="00472E99">
            <w:pPr>
              <w:tabs>
                <w:tab w:val="left" w:pos="720"/>
              </w:tabs>
              <w:autoSpaceDE w:val="0"/>
              <w:autoSpaceDN w:val="0"/>
              <w:adjustRightInd w:val="0"/>
              <w:ind w:left="352" w:right="18" w:hanging="180"/>
              <w:rPr>
                <w:rFonts w:hAnsi="標楷體" w:hint="eastAsia"/>
                <w:color w:val="0000FF"/>
                <w:sz w:val="24"/>
              </w:rPr>
            </w:pPr>
            <w:r w:rsidRPr="00EB6F97">
              <w:rPr>
                <w:rFonts w:hAnsi="標楷體"/>
                <w:color w:val="0000FF"/>
                <w:sz w:val="24"/>
              </w:rPr>
              <w:t>第</w:t>
            </w:r>
            <w:r w:rsidRPr="00EB6F97">
              <w:rPr>
                <w:rFonts w:hAnsi="標楷體" w:hint="eastAsia"/>
                <w:color w:val="0000FF"/>
                <w:sz w:val="24"/>
              </w:rPr>
              <w:t>九</w:t>
            </w:r>
            <w:r w:rsidRPr="00EB6F97">
              <w:rPr>
                <w:rFonts w:hAnsi="標楷體"/>
                <w:color w:val="0000FF"/>
                <w:sz w:val="24"/>
              </w:rPr>
              <w:t>條</w:t>
            </w:r>
            <w:r w:rsidRPr="00EB6F97">
              <w:rPr>
                <w:rFonts w:hAnsi="標楷體" w:hint="eastAsia"/>
                <w:color w:val="0000FF"/>
                <w:sz w:val="24"/>
              </w:rPr>
              <w:t>之</w:t>
            </w:r>
            <w:proofErr w:type="gramStart"/>
            <w:r w:rsidRPr="00EB6F97">
              <w:rPr>
                <w:rFonts w:hAnsi="標楷體" w:hint="eastAsia"/>
                <w:color w:val="0000FF"/>
                <w:sz w:val="24"/>
              </w:rPr>
              <w:t>ㄧ</w:t>
            </w:r>
            <w:proofErr w:type="gramEnd"/>
            <w:r w:rsidRPr="00EB6F97">
              <w:rPr>
                <w:rFonts w:hAnsi="標楷體" w:hint="eastAsia"/>
                <w:color w:val="0000FF"/>
                <w:sz w:val="24"/>
              </w:rPr>
              <w:t xml:space="preserve">  </w:t>
            </w:r>
            <w:r w:rsidR="000D1BA7" w:rsidRPr="00EB6F97">
              <w:rPr>
                <w:rFonts w:hAnsi="標楷體" w:hint="eastAsia"/>
                <w:color w:val="0000FF"/>
                <w:sz w:val="24"/>
              </w:rPr>
              <w:t>本辦法修</w:t>
            </w:r>
            <w:r w:rsidR="000D1BA7" w:rsidRPr="00EB6F97">
              <w:rPr>
                <w:rFonts w:hAnsi="標楷體" w:hint="eastAsia"/>
                <w:color w:val="0000FF"/>
                <w:sz w:val="24"/>
              </w:rPr>
              <w:lastRenderedPageBreak/>
              <w:t>正施行前，已受理尚未處理終結之案件，查緝機關人員，依修正後之規定</w:t>
            </w:r>
            <w:r w:rsidR="00763F0D">
              <w:rPr>
                <w:rFonts w:hAnsi="標楷體" w:hint="eastAsia"/>
                <w:color w:val="0000FF"/>
                <w:sz w:val="24"/>
              </w:rPr>
              <w:t>不得核發獎金</w:t>
            </w:r>
            <w:r w:rsidR="000D1BA7" w:rsidRPr="00EB6F97">
              <w:rPr>
                <w:rFonts w:hAnsi="標楷體" w:hint="eastAsia"/>
                <w:color w:val="0000FF"/>
                <w:sz w:val="24"/>
              </w:rPr>
              <w:t>。</w:t>
            </w:r>
          </w:p>
        </w:tc>
        <w:tc>
          <w:tcPr>
            <w:tcW w:w="2845" w:type="dxa"/>
          </w:tcPr>
          <w:p w14:paraId="3D045CCE" w14:textId="77777777" w:rsidR="00F75D49" w:rsidRDefault="00F75D49" w:rsidP="00F75D49">
            <w:pPr>
              <w:ind w:leftChars="-22" w:left="285" w:hangingChars="148" w:hanging="355"/>
              <w:jc w:val="both"/>
              <w:rPr>
                <w:rFonts w:hAnsi="標楷體" w:hint="eastAsia"/>
                <w:color w:val="000000"/>
                <w:sz w:val="24"/>
              </w:rPr>
            </w:pPr>
          </w:p>
        </w:tc>
        <w:tc>
          <w:tcPr>
            <w:tcW w:w="2724" w:type="dxa"/>
          </w:tcPr>
          <w:p w14:paraId="6B69140A" w14:textId="77777777" w:rsidR="00F75D49" w:rsidRPr="00472E99" w:rsidRDefault="00F75D49" w:rsidP="00F75D49">
            <w:pPr>
              <w:snapToGrid w:val="0"/>
              <w:ind w:rightChars="50" w:right="160"/>
              <w:jc w:val="both"/>
              <w:rPr>
                <w:rFonts w:hAnsi="標楷體" w:hint="eastAsia"/>
                <w:color w:val="000000"/>
                <w:sz w:val="24"/>
              </w:rPr>
            </w:pPr>
            <w:r w:rsidRPr="00472E99">
              <w:rPr>
                <w:rFonts w:hAnsi="標楷體" w:hint="eastAsia"/>
                <w:color w:val="000000"/>
                <w:sz w:val="24"/>
              </w:rPr>
              <w:t>一、</w:t>
            </w:r>
            <w:r w:rsidRPr="00472E99">
              <w:rPr>
                <w:rFonts w:hAnsi="標楷體" w:hint="eastAsia"/>
                <w:color w:val="000000"/>
                <w:sz w:val="24"/>
                <w:u w:val="single"/>
              </w:rPr>
              <w:t>本條新增</w:t>
            </w:r>
            <w:r w:rsidRPr="00472E99">
              <w:rPr>
                <w:rFonts w:hAnsi="標楷體" w:hint="eastAsia"/>
                <w:color w:val="000000"/>
                <w:sz w:val="24"/>
              </w:rPr>
              <w:t>。</w:t>
            </w:r>
          </w:p>
          <w:p w14:paraId="3932AF3B" w14:textId="77777777" w:rsidR="00F75D49" w:rsidRDefault="00F75D49" w:rsidP="00DE7619">
            <w:pPr>
              <w:snapToGrid w:val="0"/>
              <w:ind w:leftChars="1" w:left="500" w:rightChars="50" w:right="160" w:hangingChars="207" w:hanging="497"/>
              <w:jc w:val="both"/>
              <w:rPr>
                <w:rFonts w:hAnsi="標楷體" w:hint="eastAsia"/>
                <w:color w:val="000000"/>
                <w:sz w:val="24"/>
              </w:rPr>
            </w:pPr>
            <w:r w:rsidRPr="00472E99">
              <w:rPr>
                <w:rFonts w:hAnsi="標楷體" w:hint="eastAsia"/>
                <w:color w:val="000000"/>
                <w:sz w:val="24"/>
              </w:rPr>
              <w:t>二、</w:t>
            </w:r>
            <w:r w:rsidR="001554F0" w:rsidRPr="00472E99">
              <w:rPr>
                <w:rFonts w:hAnsi="標楷體" w:hint="eastAsia"/>
                <w:color w:val="000000"/>
                <w:sz w:val="24"/>
              </w:rPr>
              <w:t>明確</w:t>
            </w:r>
            <w:r w:rsidR="00DE7619" w:rsidRPr="00472E99">
              <w:rPr>
                <w:rFonts w:hAnsi="標楷體" w:hint="eastAsia"/>
                <w:color w:val="000000"/>
                <w:sz w:val="24"/>
              </w:rPr>
              <w:t>規範</w:t>
            </w:r>
            <w:r w:rsidR="001554F0" w:rsidRPr="00472E99">
              <w:rPr>
                <w:rFonts w:hAnsi="標楷體" w:hint="eastAsia"/>
                <w:color w:val="000000"/>
                <w:sz w:val="24"/>
              </w:rPr>
              <w:t>修正施</w:t>
            </w:r>
            <w:r w:rsidR="001554F0" w:rsidRPr="00B704B0">
              <w:rPr>
                <w:rFonts w:hAnsi="標楷體" w:hint="eastAsia"/>
                <w:color w:val="000000"/>
                <w:sz w:val="24"/>
              </w:rPr>
              <w:t>行</w:t>
            </w:r>
            <w:r w:rsidR="001554F0" w:rsidRPr="00B704B0">
              <w:rPr>
                <w:rFonts w:hAnsi="標楷體" w:hint="eastAsia"/>
                <w:color w:val="000000"/>
                <w:sz w:val="24"/>
              </w:rPr>
              <w:lastRenderedPageBreak/>
              <w:t>前</w:t>
            </w:r>
            <w:r w:rsidR="00DE7619" w:rsidRPr="00B704B0">
              <w:rPr>
                <w:rFonts w:hAnsi="標楷體" w:hint="eastAsia"/>
                <w:color w:val="000000"/>
                <w:sz w:val="24"/>
              </w:rPr>
              <w:t>已受理但尚未終結案件</w:t>
            </w:r>
            <w:r w:rsidR="001554F0" w:rsidRPr="00B704B0">
              <w:rPr>
                <w:rFonts w:hAnsi="標楷體" w:hint="eastAsia"/>
                <w:color w:val="000000"/>
                <w:sz w:val="24"/>
              </w:rPr>
              <w:t>，</w:t>
            </w:r>
            <w:r w:rsidR="004156C9" w:rsidRPr="00B704B0">
              <w:rPr>
                <w:rFonts w:hAnsi="標楷體" w:hint="eastAsia"/>
                <w:color w:val="000000"/>
                <w:sz w:val="24"/>
              </w:rPr>
              <w:t>查緝機關人員</w:t>
            </w:r>
            <w:r w:rsidR="00E76046" w:rsidRPr="00B704B0">
              <w:rPr>
                <w:rFonts w:hAnsi="標楷體" w:hint="eastAsia"/>
                <w:color w:val="000000"/>
                <w:sz w:val="24"/>
              </w:rPr>
              <w:t>應</w:t>
            </w:r>
            <w:r w:rsidR="001554F0" w:rsidRPr="00B704B0">
              <w:rPr>
                <w:rFonts w:hAnsi="標楷體" w:hint="eastAsia"/>
                <w:color w:val="000000"/>
                <w:sz w:val="24"/>
              </w:rPr>
              <w:t>依修正後之規定</w:t>
            </w:r>
            <w:r w:rsidR="00E76046" w:rsidRPr="00B704B0">
              <w:rPr>
                <w:rFonts w:hAnsi="標楷體" w:hint="eastAsia"/>
                <w:color w:val="000000"/>
                <w:sz w:val="24"/>
              </w:rPr>
              <w:t>，</w:t>
            </w:r>
            <w:r w:rsidR="001554F0" w:rsidRPr="00B704B0">
              <w:rPr>
                <w:rFonts w:hAnsi="標楷體" w:hint="eastAsia"/>
                <w:color w:val="000000"/>
                <w:sz w:val="24"/>
              </w:rPr>
              <w:t>不</w:t>
            </w:r>
            <w:r w:rsidR="00C56774" w:rsidRPr="00B704B0">
              <w:rPr>
                <w:rFonts w:hAnsi="標楷體" w:hint="eastAsia"/>
                <w:color w:val="000000"/>
                <w:sz w:val="24"/>
              </w:rPr>
              <w:t>得</w:t>
            </w:r>
            <w:r w:rsidR="001554F0" w:rsidRPr="00B704B0">
              <w:rPr>
                <w:rFonts w:hAnsi="標楷體" w:hint="eastAsia"/>
                <w:color w:val="000000"/>
                <w:sz w:val="24"/>
              </w:rPr>
              <w:t>核發</w:t>
            </w:r>
            <w:r w:rsidR="004156C9" w:rsidRPr="00B704B0">
              <w:rPr>
                <w:rFonts w:hAnsi="標楷體" w:hint="eastAsia"/>
                <w:color w:val="000000"/>
                <w:sz w:val="24"/>
              </w:rPr>
              <w:t>獎金</w:t>
            </w:r>
            <w:r w:rsidR="00DE7619" w:rsidRPr="00B704B0">
              <w:rPr>
                <w:rFonts w:hAnsi="標楷體" w:hint="eastAsia"/>
                <w:color w:val="000000"/>
                <w:sz w:val="24"/>
              </w:rPr>
              <w:t>。</w:t>
            </w:r>
          </w:p>
        </w:tc>
      </w:tr>
    </w:tbl>
    <w:p w14:paraId="0E4B8DF8" w14:textId="77777777" w:rsidR="00AF7AB6" w:rsidRDefault="00AF7AB6"/>
    <w:sectPr w:rsidR="00AF7AB6" w:rsidSect="00296C7A">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218D"/>
    <w:multiLevelType w:val="hybridMultilevel"/>
    <w:tmpl w:val="87BCB4F8"/>
    <w:lvl w:ilvl="0" w:tplc="ADC880A0">
      <w:start w:val="1"/>
      <w:numFmt w:val="taiwaneseCountingThousand"/>
      <w:lvlText w:val="(%1)"/>
      <w:lvlJc w:val="left"/>
      <w:pPr>
        <w:tabs>
          <w:tab w:val="num" w:pos="2280"/>
        </w:tabs>
        <w:ind w:left="2280" w:hanging="720"/>
      </w:pPr>
      <w:rPr>
        <w:rFonts w:eastAsia="標楷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288F3146"/>
    <w:multiLevelType w:val="hybridMultilevel"/>
    <w:tmpl w:val="276222C4"/>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0">
    <w:nsid w:val="39106B92"/>
    <w:multiLevelType w:val="hybridMultilevel"/>
    <w:tmpl w:val="2012BA34"/>
    <w:lvl w:ilvl="0" w:tplc="C7C0AC94">
      <w:start w:val="1"/>
      <w:numFmt w:val="taiwaneseCountingThousand"/>
      <w:lvlText w:val="%1、"/>
      <w:lvlJc w:val="left"/>
      <w:pPr>
        <w:tabs>
          <w:tab w:val="num" w:pos="859"/>
        </w:tabs>
        <w:ind w:left="859"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961671"/>
    <w:multiLevelType w:val="hybridMultilevel"/>
    <w:tmpl w:val="5A74AB34"/>
    <w:lvl w:ilvl="0" w:tplc="C7C0AC94">
      <w:start w:val="1"/>
      <w:numFmt w:val="taiwaneseCountingThousand"/>
      <w:lvlText w:val="%1、"/>
      <w:lvlJc w:val="left"/>
      <w:pPr>
        <w:tabs>
          <w:tab w:val="num" w:pos="1019"/>
        </w:tabs>
        <w:ind w:left="1019" w:hanging="360"/>
      </w:pPr>
      <w:rPr>
        <w:rFonts w:hint="default"/>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4" w15:restartNumberingAfterBreak="0">
    <w:nsid w:val="3DAD633E"/>
    <w:multiLevelType w:val="hybridMultilevel"/>
    <w:tmpl w:val="599E9EA4"/>
    <w:lvl w:ilvl="0" w:tplc="F9AE5562">
      <w:start w:val="1"/>
      <w:numFmt w:val="taiwaneseCountingThousand"/>
      <w:lvlText w:val="%1、"/>
      <w:lvlJc w:val="left"/>
      <w:pPr>
        <w:tabs>
          <w:tab w:val="num" w:pos="719"/>
        </w:tabs>
        <w:ind w:left="719" w:hanging="720"/>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5" w15:restartNumberingAfterBreak="0">
    <w:nsid w:val="43F95AEE"/>
    <w:multiLevelType w:val="hybridMultilevel"/>
    <w:tmpl w:val="38F450C2"/>
    <w:lvl w:ilvl="0" w:tplc="96A8427A">
      <w:start w:val="1"/>
      <w:numFmt w:val="taiwaneseCountingThousand"/>
      <w:lvlText w:val="（%1）"/>
      <w:lvlJc w:val="left"/>
      <w:pPr>
        <w:tabs>
          <w:tab w:val="num" w:pos="840"/>
        </w:tabs>
        <w:ind w:left="84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7833CB9"/>
    <w:multiLevelType w:val="hybridMultilevel"/>
    <w:tmpl w:val="526E9FD0"/>
    <w:lvl w:ilvl="0" w:tplc="96A8427A">
      <w:start w:val="1"/>
      <w:numFmt w:val="taiwaneseCountingThousand"/>
      <w:lvlText w:val="（%1）"/>
      <w:lvlJc w:val="left"/>
      <w:pPr>
        <w:tabs>
          <w:tab w:val="num" w:pos="1440"/>
        </w:tabs>
        <w:ind w:left="144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7A690D"/>
    <w:multiLevelType w:val="hybridMultilevel"/>
    <w:tmpl w:val="3D52C1DC"/>
    <w:lvl w:ilvl="0" w:tplc="C7C0AC94">
      <w:start w:val="1"/>
      <w:numFmt w:val="taiwaneseCountingThousand"/>
      <w:lvlText w:val="%1、"/>
      <w:lvlJc w:val="left"/>
      <w:pPr>
        <w:tabs>
          <w:tab w:val="num" w:pos="859"/>
        </w:tabs>
        <w:ind w:left="859" w:hanging="360"/>
      </w:pPr>
      <w:rPr>
        <w:rFonts w:hint="default"/>
      </w:rPr>
    </w:lvl>
    <w:lvl w:ilvl="1" w:tplc="04090019" w:tentative="1">
      <w:start w:val="1"/>
      <w:numFmt w:val="ideographTraditional"/>
      <w:lvlText w:val="%2、"/>
      <w:lvlJc w:val="left"/>
      <w:pPr>
        <w:tabs>
          <w:tab w:val="num" w:pos="1459"/>
        </w:tabs>
        <w:ind w:left="1459" w:hanging="480"/>
      </w:pPr>
    </w:lvl>
    <w:lvl w:ilvl="2" w:tplc="0409001B" w:tentative="1">
      <w:start w:val="1"/>
      <w:numFmt w:val="lowerRoman"/>
      <w:lvlText w:val="%3."/>
      <w:lvlJc w:val="right"/>
      <w:pPr>
        <w:tabs>
          <w:tab w:val="num" w:pos="1939"/>
        </w:tabs>
        <w:ind w:left="1939" w:hanging="480"/>
      </w:pPr>
    </w:lvl>
    <w:lvl w:ilvl="3" w:tplc="0409000F" w:tentative="1">
      <w:start w:val="1"/>
      <w:numFmt w:val="decimal"/>
      <w:lvlText w:val="%4."/>
      <w:lvlJc w:val="left"/>
      <w:pPr>
        <w:tabs>
          <w:tab w:val="num" w:pos="2419"/>
        </w:tabs>
        <w:ind w:left="2419" w:hanging="480"/>
      </w:pPr>
    </w:lvl>
    <w:lvl w:ilvl="4" w:tplc="04090019" w:tentative="1">
      <w:start w:val="1"/>
      <w:numFmt w:val="ideographTraditional"/>
      <w:lvlText w:val="%5、"/>
      <w:lvlJc w:val="left"/>
      <w:pPr>
        <w:tabs>
          <w:tab w:val="num" w:pos="2899"/>
        </w:tabs>
        <w:ind w:left="2899" w:hanging="480"/>
      </w:pPr>
    </w:lvl>
    <w:lvl w:ilvl="5" w:tplc="0409001B" w:tentative="1">
      <w:start w:val="1"/>
      <w:numFmt w:val="lowerRoman"/>
      <w:lvlText w:val="%6."/>
      <w:lvlJc w:val="right"/>
      <w:pPr>
        <w:tabs>
          <w:tab w:val="num" w:pos="3379"/>
        </w:tabs>
        <w:ind w:left="3379" w:hanging="480"/>
      </w:pPr>
    </w:lvl>
    <w:lvl w:ilvl="6" w:tplc="0409000F" w:tentative="1">
      <w:start w:val="1"/>
      <w:numFmt w:val="decimal"/>
      <w:lvlText w:val="%7."/>
      <w:lvlJc w:val="left"/>
      <w:pPr>
        <w:tabs>
          <w:tab w:val="num" w:pos="3859"/>
        </w:tabs>
        <w:ind w:left="3859" w:hanging="480"/>
      </w:pPr>
    </w:lvl>
    <w:lvl w:ilvl="7" w:tplc="04090019" w:tentative="1">
      <w:start w:val="1"/>
      <w:numFmt w:val="ideographTraditional"/>
      <w:lvlText w:val="%8、"/>
      <w:lvlJc w:val="left"/>
      <w:pPr>
        <w:tabs>
          <w:tab w:val="num" w:pos="4339"/>
        </w:tabs>
        <w:ind w:left="4339" w:hanging="480"/>
      </w:pPr>
    </w:lvl>
    <w:lvl w:ilvl="8" w:tplc="0409001B" w:tentative="1">
      <w:start w:val="1"/>
      <w:numFmt w:val="lowerRoman"/>
      <w:lvlText w:val="%9."/>
      <w:lvlJc w:val="right"/>
      <w:pPr>
        <w:tabs>
          <w:tab w:val="num" w:pos="4819"/>
        </w:tabs>
        <w:ind w:left="4819" w:hanging="480"/>
      </w:pPr>
    </w:lvl>
  </w:abstractNum>
  <w:abstractNum w:abstractNumId="8" w15:restartNumberingAfterBreak="0">
    <w:nsid w:val="4D214274"/>
    <w:multiLevelType w:val="multilevel"/>
    <w:tmpl w:val="5A3633AC"/>
    <w:lvl w:ilvl="0">
      <w:start w:val="1"/>
      <w:numFmt w:val="taiwaneseCountingThousand"/>
      <w:lvlText w:val="%1、"/>
      <w:lvlJc w:val="left"/>
      <w:pPr>
        <w:tabs>
          <w:tab w:val="num" w:pos="2040"/>
        </w:tabs>
        <w:ind w:left="204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2362161"/>
    <w:multiLevelType w:val="hybridMultilevel"/>
    <w:tmpl w:val="5A3633AC"/>
    <w:lvl w:ilvl="0" w:tplc="0958C996">
      <w:start w:val="1"/>
      <w:numFmt w:val="taiwaneseCountingThousand"/>
      <w:lvlText w:val="%1、"/>
      <w:lvlJc w:val="left"/>
      <w:pPr>
        <w:tabs>
          <w:tab w:val="num" w:pos="2040"/>
        </w:tabs>
        <w:ind w:left="20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F36DF6"/>
    <w:multiLevelType w:val="hybridMultilevel"/>
    <w:tmpl w:val="A2D08598"/>
    <w:lvl w:ilvl="0" w:tplc="0409000F">
      <w:start w:val="1"/>
      <w:numFmt w:val="decimal"/>
      <w:lvlText w:val="%1."/>
      <w:lvlJc w:val="left"/>
      <w:pPr>
        <w:tabs>
          <w:tab w:val="num" w:pos="979"/>
        </w:tabs>
        <w:ind w:left="979" w:hanging="480"/>
      </w:pPr>
    </w:lvl>
    <w:lvl w:ilvl="1" w:tplc="04090019" w:tentative="1">
      <w:start w:val="1"/>
      <w:numFmt w:val="ideographTraditional"/>
      <w:lvlText w:val="%2、"/>
      <w:lvlJc w:val="left"/>
      <w:pPr>
        <w:tabs>
          <w:tab w:val="num" w:pos="1459"/>
        </w:tabs>
        <w:ind w:left="1459" w:hanging="480"/>
      </w:pPr>
    </w:lvl>
    <w:lvl w:ilvl="2" w:tplc="0409001B" w:tentative="1">
      <w:start w:val="1"/>
      <w:numFmt w:val="lowerRoman"/>
      <w:lvlText w:val="%3."/>
      <w:lvlJc w:val="right"/>
      <w:pPr>
        <w:tabs>
          <w:tab w:val="num" w:pos="1939"/>
        </w:tabs>
        <w:ind w:left="1939" w:hanging="480"/>
      </w:pPr>
    </w:lvl>
    <w:lvl w:ilvl="3" w:tplc="0409000F" w:tentative="1">
      <w:start w:val="1"/>
      <w:numFmt w:val="decimal"/>
      <w:lvlText w:val="%4."/>
      <w:lvlJc w:val="left"/>
      <w:pPr>
        <w:tabs>
          <w:tab w:val="num" w:pos="2419"/>
        </w:tabs>
        <w:ind w:left="2419" w:hanging="480"/>
      </w:pPr>
    </w:lvl>
    <w:lvl w:ilvl="4" w:tplc="04090019" w:tentative="1">
      <w:start w:val="1"/>
      <w:numFmt w:val="ideographTraditional"/>
      <w:lvlText w:val="%5、"/>
      <w:lvlJc w:val="left"/>
      <w:pPr>
        <w:tabs>
          <w:tab w:val="num" w:pos="2899"/>
        </w:tabs>
        <w:ind w:left="2899" w:hanging="480"/>
      </w:pPr>
    </w:lvl>
    <w:lvl w:ilvl="5" w:tplc="0409001B" w:tentative="1">
      <w:start w:val="1"/>
      <w:numFmt w:val="lowerRoman"/>
      <w:lvlText w:val="%6."/>
      <w:lvlJc w:val="right"/>
      <w:pPr>
        <w:tabs>
          <w:tab w:val="num" w:pos="3379"/>
        </w:tabs>
        <w:ind w:left="3379" w:hanging="480"/>
      </w:pPr>
    </w:lvl>
    <w:lvl w:ilvl="6" w:tplc="0409000F" w:tentative="1">
      <w:start w:val="1"/>
      <w:numFmt w:val="decimal"/>
      <w:lvlText w:val="%7."/>
      <w:lvlJc w:val="left"/>
      <w:pPr>
        <w:tabs>
          <w:tab w:val="num" w:pos="3859"/>
        </w:tabs>
        <w:ind w:left="3859" w:hanging="480"/>
      </w:pPr>
    </w:lvl>
    <w:lvl w:ilvl="7" w:tplc="04090019" w:tentative="1">
      <w:start w:val="1"/>
      <w:numFmt w:val="ideographTraditional"/>
      <w:lvlText w:val="%8、"/>
      <w:lvlJc w:val="left"/>
      <w:pPr>
        <w:tabs>
          <w:tab w:val="num" w:pos="4339"/>
        </w:tabs>
        <w:ind w:left="4339" w:hanging="480"/>
      </w:pPr>
    </w:lvl>
    <w:lvl w:ilvl="8" w:tplc="0409001B" w:tentative="1">
      <w:start w:val="1"/>
      <w:numFmt w:val="lowerRoman"/>
      <w:lvlText w:val="%9."/>
      <w:lvlJc w:val="right"/>
      <w:pPr>
        <w:tabs>
          <w:tab w:val="num" w:pos="4819"/>
        </w:tabs>
        <w:ind w:left="4819" w:hanging="480"/>
      </w:pPr>
    </w:lvl>
  </w:abstractNum>
  <w:abstractNum w:abstractNumId="11" w15:restartNumberingAfterBreak="0">
    <w:nsid w:val="60805DA1"/>
    <w:multiLevelType w:val="multilevel"/>
    <w:tmpl w:val="6A5A9DC4"/>
    <w:lvl w:ilvl="0">
      <w:start w:val="1"/>
      <w:numFmt w:val="decimal"/>
      <w:lvlText w:val="%1."/>
      <w:lvlJc w:val="left"/>
      <w:pPr>
        <w:tabs>
          <w:tab w:val="num" w:pos="479"/>
        </w:tabs>
        <w:ind w:left="479" w:hanging="480"/>
      </w:pPr>
    </w:lvl>
    <w:lvl w:ilvl="1">
      <w:start w:val="1"/>
      <w:numFmt w:val="ideographTraditional"/>
      <w:lvlText w:val="%2、"/>
      <w:lvlJc w:val="left"/>
      <w:pPr>
        <w:tabs>
          <w:tab w:val="num" w:pos="959"/>
        </w:tabs>
        <w:ind w:left="959" w:hanging="480"/>
      </w:pPr>
    </w:lvl>
    <w:lvl w:ilvl="2">
      <w:start w:val="1"/>
      <w:numFmt w:val="lowerRoman"/>
      <w:lvlText w:val="%3."/>
      <w:lvlJc w:val="right"/>
      <w:pPr>
        <w:tabs>
          <w:tab w:val="num" w:pos="1439"/>
        </w:tabs>
        <w:ind w:left="1439" w:hanging="480"/>
      </w:pPr>
    </w:lvl>
    <w:lvl w:ilvl="3">
      <w:start w:val="1"/>
      <w:numFmt w:val="decimal"/>
      <w:lvlText w:val="%4."/>
      <w:lvlJc w:val="left"/>
      <w:pPr>
        <w:tabs>
          <w:tab w:val="num" w:pos="1919"/>
        </w:tabs>
        <w:ind w:left="1919" w:hanging="480"/>
      </w:pPr>
    </w:lvl>
    <w:lvl w:ilvl="4">
      <w:start w:val="1"/>
      <w:numFmt w:val="ideographTraditional"/>
      <w:lvlText w:val="%5、"/>
      <w:lvlJc w:val="left"/>
      <w:pPr>
        <w:tabs>
          <w:tab w:val="num" w:pos="2399"/>
        </w:tabs>
        <w:ind w:left="2399" w:hanging="480"/>
      </w:pPr>
    </w:lvl>
    <w:lvl w:ilvl="5">
      <w:start w:val="1"/>
      <w:numFmt w:val="lowerRoman"/>
      <w:lvlText w:val="%6."/>
      <w:lvlJc w:val="right"/>
      <w:pPr>
        <w:tabs>
          <w:tab w:val="num" w:pos="2879"/>
        </w:tabs>
        <w:ind w:left="2879" w:hanging="480"/>
      </w:pPr>
    </w:lvl>
    <w:lvl w:ilvl="6">
      <w:start w:val="1"/>
      <w:numFmt w:val="decimal"/>
      <w:lvlText w:val="%7."/>
      <w:lvlJc w:val="left"/>
      <w:pPr>
        <w:tabs>
          <w:tab w:val="num" w:pos="3359"/>
        </w:tabs>
        <w:ind w:left="3359" w:hanging="480"/>
      </w:pPr>
    </w:lvl>
    <w:lvl w:ilvl="7">
      <w:start w:val="1"/>
      <w:numFmt w:val="ideographTraditional"/>
      <w:lvlText w:val="%8、"/>
      <w:lvlJc w:val="left"/>
      <w:pPr>
        <w:tabs>
          <w:tab w:val="num" w:pos="3839"/>
        </w:tabs>
        <w:ind w:left="3839" w:hanging="480"/>
      </w:pPr>
    </w:lvl>
    <w:lvl w:ilvl="8">
      <w:start w:val="1"/>
      <w:numFmt w:val="lowerRoman"/>
      <w:lvlText w:val="%9."/>
      <w:lvlJc w:val="right"/>
      <w:pPr>
        <w:tabs>
          <w:tab w:val="num" w:pos="4319"/>
        </w:tabs>
        <w:ind w:left="4319" w:hanging="480"/>
      </w:pPr>
    </w:lvl>
  </w:abstractNum>
  <w:abstractNum w:abstractNumId="12" w15:restartNumberingAfterBreak="0">
    <w:nsid w:val="6C775FA9"/>
    <w:multiLevelType w:val="hybridMultilevel"/>
    <w:tmpl w:val="66A64B56"/>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num w:numId="1">
    <w:abstractNumId w:val="6"/>
  </w:num>
  <w:num w:numId="2">
    <w:abstractNumId w:val="12"/>
  </w:num>
  <w:num w:numId="3">
    <w:abstractNumId w:val="1"/>
  </w:num>
  <w:num w:numId="4">
    <w:abstractNumId w:val="9"/>
  </w:num>
  <w:num w:numId="5">
    <w:abstractNumId w:val="5"/>
  </w:num>
  <w:num w:numId="6">
    <w:abstractNumId w:val="10"/>
  </w:num>
  <w:num w:numId="7">
    <w:abstractNumId w:val="7"/>
  </w:num>
  <w:num w:numId="8">
    <w:abstractNumId w:val="3"/>
  </w:num>
  <w:num w:numId="9">
    <w:abstractNumId w:val="8"/>
  </w:num>
  <w:num w:numId="10">
    <w:abstractNumId w:val="0"/>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DD"/>
    <w:rsid w:val="00001E0E"/>
    <w:rsid w:val="00007FB9"/>
    <w:rsid w:val="00017BD7"/>
    <w:rsid w:val="000226E2"/>
    <w:rsid w:val="00023B9B"/>
    <w:rsid w:val="00027391"/>
    <w:rsid w:val="000338DC"/>
    <w:rsid w:val="00041DE3"/>
    <w:rsid w:val="0004420D"/>
    <w:rsid w:val="00050E59"/>
    <w:rsid w:val="00052B26"/>
    <w:rsid w:val="0006275A"/>
    <w:rsid w:val="000710A8"/>
    <w:rsid w:val="00072C0F"/>
    <w:rsid w:val="000922AF"/>
    <w:rsid w:val="000950AB"/>
    <w:rsid w:val="000A5834"/>
    <w:rsid w:val="000C1362"/>
    <w:rsid w:val="000C4A79"/>
    <w:rsid w:val="000C72A0"/>
    <w:rsid w:val="000D1BA7"/>
    <w:rsid w:val="000F261F"/>
    <w:rsid w:val="000F3BEA"/>
    <w:rsid w:val="000F4613"/>
    <w:rsid w:val="00102D58"/>
    <w:rsid w:val="00104586"/>
    <w:rsid w:val="00105D09"/>
    <w:rsid w:val="0010722F"/>
    <w:rsid w:val="001266BB"/>
    <w:rsid w:val="00126D97"/>
    <w:rsid w:val="0013592F"/>
    <w:rsid w:val="0013653F"/>
    <w:rsid w:val="0013796C"/>
    <w:rsid w:val="00146763"/>
    <w:rsid w:val="00153063"/>
    <w:rsid w:val="00154CB6"/>
    <w:rsid w:val="001554F0"/>
    <w:rsid w:val="00155B08"/>
    <w:rsid w:val="001573E4"/>
    <w:rsid w:val="00170F2B"/>
    <w:rsid w:val="00180373"/>
    <w:rsid w:val="00180B08"/>
    <w:rsid w:val="00184E62"/>
    <w:rsid w:val="00186FBD"/>
    <w:rsid w:val="00193002"/>
    <w:rsid w:val="001A0FFB"/>
    <w:rsid w:val="001A2FD9"/>
    <w:rsid w:val="001B39D2"/>
    <w:rsid w:val="001B3FBC"/>
    <w:rsid w:val="001C7199"/>
    <w:rsid w:val="001D0FBA"/>
    <w:rsid w:val="001D2D3A"/>
    <w:rsid w:val="001D6F46"/>
    <w:rsid w:val="001E0767"/>
    <w:rsid w:val="001E7C48"/>
    <w:rsid w:val="001F753E"/>
    <w:rsid w:val="002112A9"/>
    <w:rsid w:val="00214734"/>
    <w:rsid w:val="002173DD"/>
    <w:rsid w:val="00220313"/>
    <w:rsid w:val="002222C7"/>
    <w:rsid w:val="002235C4"/>
    <w:rsid w:val="00225547"/>
    <w:rsid w:val="00260C80"/>
    <w:rsid w:val="0026339D"/>
    <w:rsid w:val="002663AD"/>
    <w:rsid w:val="00266DC8"/>
    <w:rsid w:val="002675C0"/>
    <w:rsid w:val="0027762A"/>
    <w:rsid w:val="002808CF"/>
    <w:rsid w:val="00282792"/>
    <w:rsid w:val="0029200E"/>
    <w:rsid w:val="00293339"/>
    <w:rsid w:val="00293AFE"/>
    <w:rsid w:val="00296C7A"/>
    <w:rsid w:val="002A1187"/>
    <w:rsid w:val="002A14BC"/>
    <w:rsid w:val="002A4B0E"/>
    <w:rsid w:val="002A5B55"/>
    <w:rsid w:val="002B2BB5"/>
    <w:rsid w:val="002B34AE"/>
    <w:rsid w:val="002B3688"/>
    <w:rsid w:val="002B6272"/>
    <w:rsid w:val="002C1972"/>
    <w:rsid w:val="002C2B75"/>
    <w:rsid w:val="002D4E55"/>
    <w:rsid w:val="002E5FA1"/>
    <w:rsid w:val="002F75CE"/>
    <w:rsid w:val="00315CD6"/>
    <w:rsid w:val="00320071"/>
    <w:rsid w:val="003228BB"/>
    <w:rsid w:val="00330913"/>
    <w:rsid w:val="00331DFE"/>
    <w:rsid w:val="00347BAB"/>
    <w:rsid w:val="003510A1"/>
    <w:rsid w:val="003667EE"/>
    <w:rsid w:val="0037285D"/>
    <w:rsid w:val="00372B98"/>
    <w:rsid w:val="0037772D"/>
    <w:rsid w:val="00391230"/>
    <w:rsid w:val="00393F21"/>
    <w:rsid w:val="00396061"/>
    <w:rsid w:val="003A0688"/>
    <w:rsid w:val="003A38FC"/>
    <w:rsid w:val="003A7D37"/>
    <w:rsid w:val="003B4D2D"/>
    <w:rsid w:val="003C0852"/>
    <w:rsid w:val="003C240B"/>
    <w:rsid w:val="003C798A"/>
    <w:rsid w:val="003D5A22"/>
    <w:rsid w:val="003D6ECD"/>
    <w:rsid w:val="003E0EF4"/>
    <w:rsid w:val="003E21B1"/>
    <w:rsid w:val="003F1E67"/>
    <w:rsid w:val="003F648D"/>
    <w:rsid w:val="003F7A15"/>
    <w:rsid w:val="004065D7"/>
    <w:rsid w:val="004077DD"/>
    <w:rsid w:val="00411746"/>
    <w:rsid w:val="00412012"/>
    <w:rsid w:val="004156C9"/>
    <w:rsid w:val="004236A7"/>
    <w:rsid w:val="00424396"/>
    <w:rsid w:val="00427C46"/>
    <w:rsid w:val="00437059"/>
    <w:rsid w:val="004412F9"/>
    <w:rsid w:val="00441BB5"/>
    <w:rsid w:val="00442CAB"/>
    <w:rsid w:val="0044631D"/>
    <w:rsid w:val="00453FE0"/>
    <w:rsid w:val="004729A5"/>
    <w:rsid w:val="00472E99"/>
    <w:rsid w:val="00482BF6"/>
    <w:rsid w:val="004A2B5A"/>
    <w:rsid w:val="004A3B5F"/>
    <w:rsid w:val="004B25A8"/>
    <w:rsid w:val="004B7B2A"/>
    <w:rsid w:val="004C0D5C"/>
    <w:rsid w:val="004D558C"/>
    <w:rsid w:val="004D6789"/>
    <w:rsid w:val="004E61CF"/>
    <w:rsid w:val="004F1B5B"/>
    <w:rsid w:val="004F44CF"/>
    <w:rsid w:val="00500AB0"/>
    <w:rsid w:val="005015EE"/>
    <w:rsid w:val="00513CBE"/>
    <w:rsid w:val="00522FCF"/>
    <w:rsid w:val="00544268"/>
    <w:rsid w:val="00552B39"/>
    <w:rsid w:val="00555AF8"/>
    <w:rsid w:val="00560C68"/>
    <w:rsid w:val="00560C7B"/>
    <w:rsid w:val="00561DB1"/>
    <w:rsid w:val="0057062F"/>
    <w:rsid w:val="00573DDB"/>
    <w:rsid w:val="00576DA0"/>
    <w:rsid w:val="00590834"/>
    <w:rsid w:val="00595B51"/>
    <w:rsid w:val="005A202B"/>
    <w:rsid w:val="005A59C9"/>
    <w:rsid w:val="005B637C"/>
    <w:rsid w:val="005B7AA0"/>
    <w:rsid w:val="005C01C1"/>
    <w:rsid w:val="005C40D3"/>
    <w:rsid w:val="005D182B"/>
    <w:rsid w:val="005D2397"/>
    <w:rsid w:val="005E6275"/>
    <w:rsid w:val="005F63DC"/>
    <w:rsid w:val="006036E1"/>
    <w:rsid w:val="00603934"/>
    <w:rsid w:val="00603E9D"/>
    <w:rsid w:val="00610995"/>
    <w:rsid w:val="00611E1A"/>
    <w:rsid w:val="00627F73"/>
    <w:rsid w:val="00640F8D"/>
    <w:rsid w:val="00641F85"/>
    <w:rsid w:val="00645944"/>
    <w:rsid w:val="00647A81"/>
    <w:rsid w:val="00650AD6"/>
    <w:rsid w:val="00653EDB"/>
    <w:rsid w:val="00655AEA"/>
    <w:rsid w:val="00657EAD"/>
    <w:rsid w:val="00661530"/>
    <w:rsid w:val="00664A94"/>
    <w:rsid w:val="00667B2D"/>
    <w:rsid w:val="00671D2A"/>
    <w:rsid w:val="006960FB"/>
    <w:rsid w:val="006A11F9"/>
    <w:rsid w:val="006A551D"/>
    <w:rsid w:val="006C44DB"/>
    <w:rsid w:val="006C6213"/>
    <w:rsid w:val="006E5E24"/>
    <w:rsid w:val="006E615F"/>
    <w:rsid w:val="006F5ABA"/>
    <w:rsid w:val="006F6143"/>
    <w:rsid w:val="006F674F"/>
    <w:rsid w:val="006F7C1D"/>
    <w:rsid w:val="00700A7E"/>
    <w:rsid w:val="00700B97"/>
    <w:rsid w:val="0070113E"/>
    <w:rsid w:val="00711C1F"/>
    <w:rsid w:val="007139E4"/>
    <w:rsid w:val="00715A74"/>
    <w:rsid w:val="0074471B"/>
    <w:rsid w:val="00756383"/>
    <w:rsid w:val="00763F0D"/>
    <w:rsid w:val="00770BD6"/>
    <w:rsid w:val="00776A40"/>
    <w:rsid w:val="00777DFC"/>
    <w:rsid w:val="007821D9"/>
    <w:rsid w:val="007846A9"/>
    <w:rsid w:val="007879F8"/>
    <w:rsid w:val="00794F19"/>
    <w:rsid w:val="007A334E"/>
    <w:rsid w:val="007B7B75"/>
    <w:rsid w:val="007C236A"/>
    <w:rsid w:val="007C5EA4"/>
    <w:rsid w:val="007C7B99"/>
    <w:rsid w:val="007D65C3"/>
    <w:rsid w:val="007D65EE"/>
    <w:rsid w:val="007F0B8B"/>
    <w:rsid w:val="007F1FB2"/>
    <w:rsid w:val="007F6C65"/>
    <w:rsid w:val="00806F7A"/>
    <w:rsid w:val="008070D5"/>
    <w:rsid w:val="0081148B"/>
    <w:rsid w:val="00812A84"/>
    <w:rsid w:val="008138D3"/>
    <w:rsid w:val="00830101"/>
    <w:rsid w:val="00833161"/>
    <w:rsid w:val="008346FF"/>
    <w:rsid w:val="00837CDA"/>
    <w:rsid w:val="00850271"/>
    <w:rsid w:val="0085234F"/>
    <w:rsid w:val="00853D45"/>
    <w:rsid w:val="00856E86"/>
    <w:rsid w:val="00857D8B"/>
    <w:rsid w:val="008607C2"/>
    <w:rsid w:val="008623A0"/>
    <w:rsid w:val="008674E1"/>
    <w:rsid w:val="00874AB3"/>
    <w:rsid w:val="008762C4"/>
    <w:rsid w:val="008803FB"/>
    <w:rsid w:val="00882445"/>
    <w:rsid w:val="0089065D"/>
    <w:rsid w:val="0089593B"/>
    <w:rsid w:val="00897B72"/>
    <w:rsid w:val="008A0210"/>
    <w:rsid w:val="008A2B7F"/>
    <w:rsid w:val="008B08C9"/>
    <w:rsid w:val="008B4146"/>
    <w:rsid w:val="008C1E9E"/>
    <w:rsid w:val="008D4CC2"/>
    <w:rsid w:val="008D5377"/>
    <w:rsid w:val="008D6ABB"/>
    <w:rsid w:val="008E1805"/>
    <w:rsid w:val="008F0B9E"/>
    <w:rsid w:val="008F429D"/>
    <w:rsid w:val="008F6235"/>
    <w:rsid w:val="0090458E"/>
    <w:rsid w:val="009152B9"/>
    <w:rsid w:val="0092018F"/>
    <w:rsid w:val="0092555D"/>
    <w:rsid w:val="00925CD9"/>
    <w:rsid w:val="00932EA5"/>
    <w:rsid w:val="009338B9"/>
    <w:rsid w:val="009529CA"/>
    <w:rsid w:val="00953EC0"/>
    <w:rsid w:val="009570CC"/>
    <w:rsid w:val="00970997"/>
    <w:rsid w:val="00976853"/>
    <w:rsid w:val="00977BCC"/>
    <w:rsid w:val="00981077"/>
    <w:rsid w:val="009904E9"/>
    <w:rsid w:val="00997B03"/>
    <w:rsid w:val="009A6D21"/>
    <w:rsid w:val="009B0B15"/>
    <w:rsid w:val="009B2DEF"/>
    <w:rsid w:val="009B6B08"/>
    <w:rsid w:val="009C09F9"/>
    <w:rsid w:val="009C25A1"/>
    <w:rsid w:val="009C3E8E"/>
    <w:rsid w:val="009C5A1D"/>
    <w:rsid w:val="009D08B0"/>
    <w:rsid w:val="009D0DC4"/>
    <w:rsid w:val="009D18F0"/>
    <w:rsid w:val="009D30B6"/>
    <w:rsid w:val="009E4C74"/>
    <w:rsid w:val="009F18CB"/>
    <w:rsid w:val="009F59A4"/>
    <w:rsid w:val="009F7625"/>
    <w:rsid w:val="00A0161C"/>
    <w:rsid w:val="00A23BD6"/>
    <w:rsid w:val="00A26BBB"/>
    <w:rsid w:val="00A300AB"/>
    <w:rsid w:val="00A3511C"/>
    <w:rsid w:val="00A47795"/>
    <w:rsid w:val="00A52C48"/>
    <w:rsid w:val="00A533F1"/>
    <w:rsid w:val="00A53E61"/>
    <w:rsid w:val="00A57DB8"/>
    <w:rsid w:val="00A72C62"/>
    <w:rsid w:val="00A77E94"/>
    <w:rsid w:val="00A842D9"/>
    <w:rsid w:val="00A8439A"/>
    <w:rsid w:val="00A851C6"/>
    <w:rsid w:val="00A85D67"/>
    <w:rsid w:val="00A92133"/>
    <w:rsid w:val="00A97399"/>
    <w:rsid w:val="00AA0A6D"/>
    <w:rsid w:val="00AA4F55"/>
    <w:rsid w:val="00AB1646"/>
    <w:rsid w:val="00AC6ADC"/>
    <w:rsid w:val="00AD179B"/>
    <w:rsid w:val="00AE0FF1"/>
    <w:rsid w:val="00AE3C74"/>
    <w:rsid w:val="00AE4044"/>
    <w:rsid w:val="00AF0648"/>
    <w:rsid w:val="00AF7AB6"/>
    <w:rsid w:val="00B00981"/>
    <w:rsid w:val="00B10183"/>
    <w:rsid w:val="00B113CB"/>
    <w:rsid w:val="00B11858"/>
    <w:rsid w:val="00B15C0B"/>
    <w:rsid w:val="00B263AE"/>
    <w:rsid w:val="00B32062"/>
    <w:rsid w:val="00B37E8B"/>
    <w:rsid w:val="00B512FB"/>
    <w:rsid w:val="00B55FD1"/>
    <w:rsid w:val="00B57C86"/>
    <w:rsid w:val="00B610A2"/>
    <w:rsid w:val="00B67B83"/>
    <w:rsid w:val="00B704B0"/>
    <w:rsid w:val="00B71844"/>
    <w:rsid w:val="00B72B00"/>
    <w:rsid w:val="00B86E74"/>
    <w:rsid w:val="00B90268"/>
    <w:rsid w:val="00B91988"/>
    <w:rsid w:val="00BA20C2"/>
    <w:rsid w:val="00BA3084"/>
    <w:rsid w:val="00BA31CF"/>
    <w:rsid w:val="00BB74B4"/>
    <w:rsid w:val="00BB7702"/>
    <w:rsid w:val="00BC231B"/>
    <w:rsid w:val="00BC4CD6"/>
    <w:rsid w:val="00BD02E3"/>
    <w:rsid w:val="00BD6359"/>
    <w:rsid w:val="00BE1DB6"/>
    <w:rsid w:val="00BE6376"/>
    <w:rsid w:val="00BE64F0"/>
    <w:rsid w:val="00BF3BCF"/>
    <w:rsid w:val="00BF79A7"/>
    <w:rsid w:val="00C13007"/>
    <w:rsid w:val="00C1655D"/>
    <w:rsid w:val="00C174D5"/>
    <w:rsid w:val="00C33D6D"/>
    <w:rsid w:val="00C534E3"/>
    <w:rsid w:val="00C56774"/>
    <w:rsid w:val="00C64039"/>
    <w:rsid w:val="00C64BEF"/>
    <w:rsid w:val="00C66D8D"/>
    <w:rsid w:val="00C70006"/>
    <w:rsid w:val="00C71678"/>
    <w:rsid w:val="00C76D8C"/>
    <w:rsid w:val="00C83632"/>
    <w:rsid w:val="00C85051"/>
    <w:rsid w:val="00C919CB"/>
    <w:rsid w:val="00C95754"/>
    <w:rsid w:val="00CA1B4C"/>
    <w:rsid w:val="00CA4030"/>
    <w:rsid w:val="00CB4CC9"/>
    <w:rsid w:val="00CB5F38"/>
    <w:rsid w:val="00CC29C2"/>
    <w:rsid w:val="00CD65C1"/>
    <w:rsid w:val="00CE6D16"/>
    <w:rsid w:val="00CF2DCD"/>
    <w:rsid w:val="00CF6342"/>
    <w:rsid w:val="00D02894"/>
    <w:rsid w:val="00D06B96"/>
    <w:rsid w:val="00D07A01"/>
    <w:rsid w:val="00D10B16"/>
    <w:rsid w:val="00D17D7B"/>
    <w:rsid w:val="00D25EAD"/>
    <w:rsid w:val="00D27E8F"/>
    <w:rsid w:val="00D3204D"/>
    <w:rsid w:val="00D51312"/>
    <w:rsid w:val="00D530E3"/>
    <w:rsid w:val="00D56741"/>
    <w:rsid w:val="00D570B0"/>
    <w:rsid w:val="00D57211"/>
    <w:rsid w:val="00D60373"/>
    <w:rsid w:val="00D74E76"/>
    <w:rsid w:val="00D7598C"/>
    <w:rsid w:val="00D75C19"/>
    <w:rsid w:val="00D75DBC"/>
    <w:rsid w:val="00D80218"/>
    <w:rsid w:val="00D8665E"/>
    <w:rsid w:val="00D87161"/>
    <w:rsid w:val="00D90271"/>
    <w:rsid w:val="00DA18AA"/>
    <w:rsid w:val="00DA4A4D"/>
    <w:rsid w:val="00DA5048"/>
    <w:rsid w:val="00DA7A35"/>
    <w:rsid w:val="00DC6619"/>
    <w:rsid w:val="00DD077C"/>
    <w:rsid w:val="00DD19A0"/>
    <w:rsid w:val="00DE0333"/>
    <w:rsid w:val="00DE2171"/>
    <w:rsid w:val="00DE7619"/>
    <w:rsid w:val="00DF1B64"/>
    <w:rsid w:val="00DF24D5"/>
    <w:rsid w:val="00DF3D1B"/>
    <w:rsid w:val="00DF74F4"/>
    <w:rsid w:val="00E03307"/>
    <w:rsid w:val="00E05A58"/>
    <w:rsid w:val="00E137B0"/>
    <w:rsid w:val="00E30359"/>
    <w:rsid w:val="00E30AAC"/>
    <w:rsid w:val="00E356CC"/>
    <w:rsid w:val="00E41A63"/>
    <w:rsid w:val="00E41D35"/>
    <w:rsid w:val="00E448C3"/>
    <w:rsid w:val="00E44C35"/>
    <w:rsid w:val="00E5066A"/>
    <w:rsid w:val="00E545E0"/>
    <w:rsid w:val="00E55FB4"/>
    <w:rsid w:val="00E71151"/>
    <w:rsid w:val="00E76046"/>
    <w:rsid w:val="00E8269C"/>
    <w:rsid w:val="00E82999"/>
    <w:rsid w:val="00E84FFB"/>
    <w:rsid w:val="00E946DF"/>
    <w:rsid w:val="00EB4C39"/>
    <w:rsid w:val="00EB6F97"/>
    <w:rsid w:val="00EB732C"/>
    <w:rsid w:val="00EC00A9"/>
    <w:rsid w:val="00EC2C32"/>
    <w:rsid w:val="00EC49F7"/>
    <w:rsid w:val="00EC5586"/>
    <w:rsid w:val="00EE592A"/>
    <w:rsid w:val="00F00777"/>
    <w:rsid w:val="00F01ABE"/>
    <w:rsid w:val="00F10E5C"/>
    <w:rsid w:val="00F1216B"/>
    <w:rsid w:val="00F27717"/>
    <w:rsid w:val="00F30FD8"/>
    <w:rsid w:val="00F4292E"/>
    <w:rsid w:val="00F5182D"/>
    <w:rsid w:val="00F5451B"/>
    <w:rsid w:val="00F55474"/>
    <w:rsid w:val="00F671A9"/>
    <w:rsid w:val="00F75D49"/>
    <w:rsid w:val="00F76560"/>
    <w:rsid w:val="00F7737F"/>
    <w:rsid w:val="00F80A4C"/>
    <w:rsid w:val="00F938B1"/>
    <w:rsid w:val="00F95E82"/>
    <w:rsid w:val="00F9793D"/>
    <w:rsid w:val="00FA1839"/>
    <w:rsid w:val="00FB3982"/>
    <w:rsid w:val="00FC07D2"/>
    <w:rsid w:val="00FC530B"/>
    <w:rsid w:val="00FC5D08"/>
    <w:rsid w:val="00FC6EAB"/>
    <w:rsid w:val="00FC6F3C"/>
    <w:rsid w:val="00FD662D"/>
    <w:rsid w:val="00FE0468"/>
    <w:rsid w:val="00FE3F08"/>
    <w:rsid w:val="00FF327C"/>
    <w:rsid w:val="00FF4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9EFF0"/>
  <w15:chartTrackingRefBased/>
  <w15:docId w15:val="{125BDEE7-6479-4256-9029-7365651A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7DD"/>
    <w:pPr>
      <w:widowControl w:val="0"/>
    </w:pPr>
    <w:rPr>
      <w:rFonts w:ascii="標楷體" w:eastAsia="標楷體"/>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077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4077DD"/>
    <w:rPr>
      <w:color w:val="000000"/>
      <w:u w:val="none"/>
    </w:rPr>
  </w:style>
  <w:style w:type="paragraph" w:styleId="HTML">
    <w:name w:val="HTML Preformatted"/>
    <w:basedOn w:val="a"/>
    <w:rsid w:val="00560C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Links>
    <vt:vector size="18" baseType="variant">
      <vt:variant>
        <vt:i4>3381249</vt:i4>
      </vt:variant>
      <vt:variant>
        <vt:i4>6</vt:i4>
      </vt:variant>
      <vt:variant>
        <vt:i4>0</vt:i4>
      </vt:variant>
      <vt:variant>
        <vt:i4>5</vt:i4>
      </vt:variant>
      <vt:variant>
        <vt:lpwstr/>
      </vt:variant>
      <vt:variant>
        <vt:lpwstr>頁3</vt:lpwstr>
      </vt:variant>
      <vt:variant>
        <vt:i4>3381249</vt:i4>
      </vt:variant>
      <vt:variant>
        <vt:i4>3</vt:i4>
      </vt:variant>
      <vt:variant>
        <vt:i4>0</vt:i4>
      </vt:variant>
      <vt:variant>
        <vt:i4>5</vt:i4>
      </vt:variant>
      <vt:variant>
        <vt:lpwstr/>
      </vt:variant>
      <vt:variant>
        <vt:lpwstr>頁3</vt:lpwstr>
      </vt:variant>
      <vt:variant>
        <vt:i4>3381249</vt:i4>
      </vt:variant>
      <vt:variant>
        <vt:i4>0</vt:i4>
      </vt:variant>
      <vt:variant>
        <vt:i4>0</vt:i4>
      </vt:variant>
      <vt:variant>
        <vt:i4>5</vt:i4>
      </vt:variant>
      <vt:variant>
        <vt:lpwstr/>
      </vt:variant>
      <vt:variant>
        <vt:lpwstr>頁3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檢舉走私進口動植物及其產品獎勵辦法</dc:title>
  <dc:subject/>
  <dc:creator>yanting</dc:creator>
  <cp:keywords/>
  <dc:description/>
  <cp:lastModifiedBy>Emma</cp:lastModifiedBy>
  <cp:revision>2</cp:revision>
  <cp:lastPrinted>2011-07-06T00:41:00Z</cp:lastPrinted>
  <dcterms:created xsi:type="dcterms:W3CDTF">2021-09-02T17:03:00Z</dcterms:created>
  <dcterms:modified xsi:type="dcterms:W3CDTF">2021-09-02T17:03:00Z</dcterms:modified>
</cp:coreProperties>
</file>