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3C35" w14:textId="77777777" w:rsidR="005C5212" w:rsidRDefault="00277F57" w:rsidP="00166B38">
      <w:pPr>
        <w:tabs>
          <w:tab w:val="left" w:pos="0"/>
          <w:tab w:val="left" w:pos="120"/>
          <w:tab w:val="left" w:pos="720"/>
          <w:tab w:val="left" w:pos="2280"/>
        </w:tabs>
        <w:ind w:leftChars="-5" w:hanging="12"/>
        <w:rPr>
          <w:rFonts w:eastAsia="標楷體" w:hint="eastAsia"/>
          <w:bCs/>
          <w:color w:val="000000"/>
          <w:sz w:val="40"/>
        </w:rPr>
      </w:pPr>
      <w:r>
        <w:rPr>
          <w:rFonts w:eastAsia="標楷體" w:hint="eastAsia"/>
          <w:bCs/>
          <w:color w:val="000000"/>
          <w:sz w:val="40"/>
        </w:rPr>
        <w:t>動</w:t>
      </w:r>
      <w:r w:rsidR="005C5212" w:rsidRPr="00A55312">
        <w:rPr>
          <w:rFonts w:eastAsia="標楷體" w:hint="eastAsia"/>
          <w:bCs/>
          <w:color w:val="000000"/>
          <w:sz w:val="40"/>
        </w:rPr>
        <w:t>物用藥品檢驗標準</w:t>
      </w:r>
      <w:r w:rsidR="000A0EBB">
        <w:rPr>
          <w:rFonts w:eastAsia="標楷體" w:hint="eastAsia"/>
          <w:bCs/>
          <w:color w:val="000000"/>
          <w:sz w:val="40"/>
        </w:rPr>
        <w:t>第一百</w:t>
      </w:r>
      <w:r w:rsidR="00BB1FA8">
        <w:rPr>
          <w:rFonts w:eastAsia="標楷體" w:hint="eastAsia"/>
          <w:bCs/>
          <w:color w:val="000000"/>
          <w:sz w:val="40"/>
        </w:rPr>
        <w:t>六十六</w:t>
      </w:r>
      <w:r w:rsidR="000A0EBB">
        <w:rPr>
          <w:rFonts w:eastAsia="標楷體" w:hint="eastAsia"/>
          <w:bCs/>
          <w:color w:val="000000"/>
          <w:sz w:val="40"/>
        </w:rPr>
        <w:t>條</w:t>
      </w:r>
      <w:r w:rsidR="003F35E5" w:rsidRPr="00A55312">
        <w:rPr>
          <w:rFonts w:eastAsia="標楷體" w:hint="eastAsia"/>
          <w:bCs/>
          <w:color w:val="000000"/>
          <w:sz w:val="40"/>
        </w:rPr>
        <w:t>修正草案</w:t>
      </w:r>
      <w:r w:rsidR="005C5212" w:rsidRPr="00A55312">
        <w:rPr>
          <w:rFonts w:eastAsia="標楷體" w:hint="eastAsia"/>
          <w:bCs/>
          <w:color w:val="000000"/>
          <w:sz w:val="40"/>
        </w:rPr>
        <w:t>總說明</w:t>
      </w:r>
    </w:p>
    <w:p w14:paraId="14598065" w14:textId="77777777" w:rsidR="001D55CE" w:rsidRDefault="00E335B1" w:rsidP="00DA2CAC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  <w:sectPr w:rsidR="001D55CE" w:rsidSect="005501CB">
          <w:pgSz w:w="11907" w:h="16840"/>
          <w:pgMar w:top="1418" w:right="1418" w:bottom="1418" w:left="170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902B13">
        <w:rPr>
          <w:rFonts w:ascii="標楷體" w:eastAsia="標楷體" w:hAnsi="標楷體" w:hint="eastAsia"/>
          <w:color w:val="000000"/>
          <w:sz w:val="28"/>
          <w:szCs w:val="28"/>
        </w:rPr>
        <w:t>動物用藥品檢驗標準（以下簡稱本標準）係於六十四年十一月二十一日訂</w:t>
      </w:r>
      <w:r w:rsidR="001C4D9E">
        <w:rPr>
          <w:rFonts w:ascii="標楷體" w:eastAsia="標楷體" w:hAnsi="標楷體" w:hint="eastAsia"/>
          <w:color w:val="000000"/>
          <w:sz w:val="28"/>
          <w:szCs w:val="28"/>
        </w:rPr>
        <w:t>定發布，</w:t>
      </w:r>
      <w:proofErr w:type="gramStart"/>
      <w:r w:rsidR="001C4D9E">
        <w:rPr>
          <w:rFonts w:ascii="標楷體" w:eastAsia="標楷體" w:hAnsi="標楷體" w:hint="eastAsia"/>
          <w:color w:val="000000"/>
          <w:sz w:val="28"/>
          <w:szCs w:val="28"/>
        </w:rPr>
        <w:t>嗣</w:t>
      </w:r>
      <w:proofErr w:type="gramEnd"/>
      <w:r w:rsidR="001C4D9E">
        <w:rPr>
          <w:rFonts w:ascii="標楷體" w:eastAsia="標楷體" w:hAnsi="標楷體" w:hint="eastAsia"/>
          <w:color w:val="000000"/>
          <w:sz w:val="28"/>
          <w:szCs w:val="28"/>
        </w:rPr>
        <w:t>於七十年十月二日至一百</w:t>
      </w:r>
      <w:r w:rsidR="00052F1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B1FA8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052F1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B1FA8"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4C441F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052F11">
        <w:rPr>
          <w:rFonts w:ascii="標楷體" w:eastAsia="標楷體" w:hAnsi="標楷體" w:hint="eastAsia"/>
          <w:color w:val="000000"/>
          <w:sz w:val="28"/>
          <w:szCs w:val="28"/>
        </w:rPr>
        <w:t>間</w:t>
      </w:r>
      <w:r w:rsidR="004C441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52F11">
        <w:rPr>
          <w:rFonts w:ascii="標楷體" w:eastAsia="標楷體" w:hAnsi="標楷體" w:hint="eastAsia"/>
          <w:color w:val="000000"/>
          <w:sz w:val="28"/>
          <w:szCs w:val="28"/>
        </w:rPr>
        <w:t>歷經多次修正。</w:t>
      </w:r>
      <w:r w:rsidR="000F4333">
        <w:rPr>
          <w:rFonts w:ascii="標楷體" w:eastAsia="標楷體" w:hAnsi="標楷體" w:hint="eastAsia"/>
          <w:color w:val="000000"/>
          <w:sz w:val="28"/>
          <w:szCs w:val="28"/>
        </w:rPr>
        <w:t>現</w:t>
      </w:r>
      <w:r w:rsidR="00BB1FA8" w:rsidRPr="00BB1FA8">
        <w:rPr>
          <w:rFonts w:ascii="標楷體" w:eastAsia="標楷體" w:hAnsi="標楷體" w:hint="eastAsia"/>
          <w:color w:val="000000"/>
          <w:sz w:val="28"/>
          <w:szCs w:val="28"/>
        </w:rPr>
        <w:t>為符合世界動物衛生組織（</w:t>
      </w:r>
      <w:r w:rsidR="00952214">
        <w:rPr>
          <w:rFonts w:ascii="標楷體" w:eastAsia="標楷體" w:hAnsi="標楷體" w:hint="eastAsia"/>
          <w:color w:val="000000"/>
          <w:sz w:val="28"/>
          <w:szCs w:val="28"/>
        </w:rPr>
        <w:t>World Organiz</w:t>
      </w:r>
      <w:r w:rsidR="00BB1FA8">
        <w:rPr>
          <w:rFonts w:ascii="標楷體" w:eastAsia="標楷體" w:hAnsi="標楷體" w:hint="eastAsia"/>
          <w:color w:val="000000"/>
          <w:sz w:val="28"/>
          <w:szCs w:val="28"/>
        </w:rPr>
        <w:t>ation for Animal Hea</w:t>
      </w:r>
      <w:r w:rsidR="00BB1FA8" w:rsidRPr="00BB1FA8">
        <w:rPr>
          <w:rFonts w:ascii="標楷體" w:eastAsia="標楷體" w:hAnsi="標楷體" w:hint="eastAsia"/>
          <w:color w:val="000000"/>
          <w:sz w:val="28"/>
          <w:szCs w:val="28"/>
        </w:rPr>
        <w:t>lth, OIE）規定及國際趨勢，</w:t>
      </w:r>
      <w:r w:rsidR="000F4333" w:rsidRPr="00BB1FA8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 w:rsidR="000F4333">
        <w:rPr>
          <w:rFonts w:ascii="標楷體" w:eastAsia="標楷體" w:hAnsi="標楷體" w:hint="eastAsia"/>
          <w:color w:val="000000"/>
          <w:sz w:val="28"/>
          <w:szCs w:val="28"/>
        </w:rPr>
        <w:t>其</w:t>
      </w:r>
      <w:r w:rsidR="000F4333" w:rsidRPr="00BB1FA8">
        <w:rPr>
          <w:rFonts w:ascii="標楷體" w:eastAsia="標楷體" w:hAnsi="標楷體" w:hint="eastAsia"/>
          <w:color w:val="000000"/>
          <w:sz w:val="28"/>
          <w:szCs w:val="28"/>
        </w:rPr>
        <w:t>手冊規定</w:t>
      </w:r>
      <w:proofErr w:type="gramStart"/>
      <w:r w:rsidR="000F4333" w:rsidRPr="00BB1FA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0F4333" w:rsidRPr="00BB1FA8">
        <w:rPr>
          <w:rFonts w:ascii="標楷體" w:eastAsia="標楷體" w:hAnsi="標楷體" w:hint="eastAsia"/>
          <w:color w:val="000000"/>
          <w:sz w:val="28"/>
          <w:szCs w:val="28"/>
        </w:rPr>
        <w:t>Manual of Diagnostic T</w:t>
      </w:r>
      <w:r w:rsidR="00952214">
        <w:rPr>
          <w:rFonts w:ascii="標楷體" w:eastAsia="標楷體" w:hAnsi="標楷體" w:hint="eastAsia"/>
          <w:color w:val="000000"/>
          <w:sz w:val="28"/>
          <w:szCs w:val="28"/>
        </w:rPr>
        <w:t xml:space="preserve">ests and Vaccines for </w:t>
      </w:r>
      <w:proofErr w:type="spellStart"/>
      <w:r w:rsidR="000F4333">
        <w:rPr>
          <w:rFonts w:ascii="標楷體" w:eastAsia="標楷體" w:hAnsi="標楷體" w:hint="eastAsia"/>
          <w:color w:val="000000"/>
          <w:sz w:val="28"/>
          <w:szCs w:val="28"/>
        </w:rPr>
        <w:t>Terresri</w:t>
      </w:r>
      <w:r w:rsidR="000F4333" w:rsidRPr="00BB1FA8">
        <w:rPr>
          <w:rFonts w:ascii="標楷體" w:eastAsia="標楷體" w:hAnsi="標楷體" w:hint="eastAsia"/>
          <w:color w:val="000000"/>
          <w:sz w:val="28"/>
          <w:szCs w:val="28"/>
        </w:rPr>
        <w:t>al</w:t>
      </w:r>
      <w:proofErr w:type="spellEnd"/>
      <w:r w:rsidR="000F4333" w:rsidRPr="00BB1FA8">
        <w:rPr>
          <w:rFonts w:ascii="標楷體" w:eastAsia="標楷體" w:hAnsi="標楷體" w:hint="eastAsia"/>
          <w:color w:val="000000"/>
          <w:sz w:val="28"/>
          <w:szCs w:val="28"/>
        </w:rPr>
        <w:t xml:space="preserve"> Animals, May 2009, Chapter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0F4333" w:rsidRPr="00BB1FA8">
          <w:rPr>
            <w:rFonts w:ascii="標楷體" w:eastAsia="標楷體" w:hAnsi="標楷體" w:hint="eastAsia"/>
            <w:color w:val="000000"/>
            <w:sz w:val="28"/>
            <w:szCs w:val="28"/>
          </w:rPr>
          <w:t>2.1.5</w:t>
        </w:r>
      </w:smartTag>
      <w:r w:rsidR="000F4333">
        <w:rPr>
          <w:rFonts w:ascii="標楷體" w:eastAsia="標楷體" w:hAnsi="標楷體" w:hint="eastAsia"/>
          <w:color w:val="000000"/>
          <w:sz w:val="28"/>
          <w:szCs w:val="28"/>
        </w:rPr>
        <w:t>. Foot and Mouth Dise</w:t>
      </w:r>
      <w:r w:rsidR="000F4333" w:rsidRPr="00BB1FA8">
        <w:rPr>
          <w:rFonts w:ascii="標楷體" w:eastAsia="標楷體" w:hAnsi="標楷體" w:hint="eastAsia"/>
          <w:color w:val="000000"/>
          <w:sz w:val="28"/>
          <w:szCs w:val="28"/>
        </w:rPr>
        <w:t>ase</w:t>
      </w:r>
      <w:proofErr w:type="gramStart"/>
      <w:r w:rsidR="000F433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="000F4333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0F4333" w:rsidRPr="00BB1FA8">
        <w:rPr>
          <w:rFonts w:ascii="標楷體" w:eastAsia="標楷體" w:hAnsi="標楷體" w:hint="eastAsia"/>
          <w:color w:val="000000"/>
          <w:sz w:val="28"/>
          <w:szCs w:val="28"/>
        </w:rPr>
        <w:t>方法</w:t>
      </w:r>
      <w:r w:rsidR="000F433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94CBC">
        <w:rPr>
          <w:rFonts w:ascii="標楷體" w:eastAsia="標楷體" w:hAnsi="標楷體" w:hint="eastAsia"/>
          <w:color w:val="000000"/>
          <w:sz w:val="28"/>
          <w:szCs w:val="28"/>
        </w:rPr>
        <w:t>修正第七十二</w:t>
      </w:r>
      <w:proofErr w:type="gramStart"/>
      <w:r w:rsidR="00794CBC">
        <w:rPr>
          <w:rFonts w:ascii="標楷體" w:eastAsia="標楷體" w:hAnsi="標楷體" w:hint="eastAsia"/>
          <w:color w:val="000000"/>
          <w:sz w:val="28"/>
          <w:szCs w:val="28"/>
        </w:rPr>
        <w:t>節口蹄疫不</w:t>
      </w:r>
      <w:proofErr w:type="gramEnd"/>
      <w:r w:rsidR="00794CBC">
        <w:rPr>
          <w:rFonts w:ascii="標楷體" w:eastAsia="標楷體" w:hAnsi="標楷體" w:hint="eastAsia"/>
          <w:color w:val="000000"/>
          <w:sz w:val="28"/>
          <w:szCs w:val="28"/>
        </w:rPr>
        <w:t>活化疫苗檢驗標準，於效力試驗增</w:t>
      </w:r>
      <w:proofErr w:type="gramStart"/>
      <w:r w:rsidR="00794CBC">
        <w:rPr>
          <w:rFonts w:ascii="標楷體" w:eastAsia="標楷體" w:hAnsi="標楷體" w:hint="eastAsia"/>
          <w:color w:val="000000"/>
          <w:sz w:val="28"/>
          <w:szCs w:val="28"/>
        </w:rPr>
        <w:t>列豬隻攻</w:t>
      </w:r>
      <w:proofErr w:type="gramEnd"/>
      <w:r w:rsidR="00794CBC">
        <w:rPr>
          <w:rFonts w:ascii="標楷體" w:eastAsia="標楷體" w:hAnsi="標楷體" w:hint="eastAsia"/>
          <w:color w:val="000000"/>
          <w:sz w:val="28"/>
          <w:szCs w:val="28"/>
        </w:rPr>
        <w:t>毒試驗之方法，</w:t>
      </w:r>
      <w:r w:rsidR="00DA2CAC">
        <w:rPr>
          <w:rFonts w:ascii="標楷體" w:eastAsia="標楷體" w:hAnsi="標楷體" w:hint="eastAsia"/>
          <w:color w:val="000000"/>
          <w:sz w:val="28"/>
          <w:szCs w:val="28"/>
        </w:rPr>
        <w:t>作為</w:t>
      </w:r>
      <w:r w:rsidR="00DA2CAC" w:rsidRPr="00BB1FA8">
        <w:rPr>
          <w:rFonts w:ascii="標楷體" w:eastAsia="標楷體" w:hAnsi="標楷體" w:hint="eastAsia"/>
          <w:color w:val="000000"/>
          <w:sz w:val="28"/>
          <w:szCs w:val="28"/>
        </w:rPr>
        <w:t>廠商於效力試驗</w:t>
      </w:r>
      <w:r w:rsidR="000F4333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4C441F">
        <w:rPr>
          <w:rFonts w:ascii="標楷體" w:eastAsia="標楷體" w:hAnsi="標楷體" w:hint="eastAsia"/>
          <w:color w:val="000000"/>
          <w:sz w:val="28"/>
          <w:szCs w:val="28"/>
        </w:rPr>
        <w:t>另一</w:t>
      </w:r>
      <w:r w:rsidR="00DA2CAC">
        <w:rPr>
          <w:rFonts w:ascii="標楷體" w:eastAsia="標楷體" w:hAnsi="標楷體" w:hint="eastAsia"/>
          <w:color w:val="000000"/>
          <w:sz w:val="28"/>
          <w:szCs w:val="28"/>
        </w:rPr>
        <w:t>選擇</w:t>
      </w:r>
      <w:r w:rsidR="00BA325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BA325A">
        <w:rPr>
          <w:rFonts w:ascii="標楷體" w:eastAsia="標楷體" w:hAnsi="標楷體" w:hint="eastAsia"/>
          <w:color w:val="000000"/>
          <w:sz w:val="28"/>
          <w:szCs w:val="28"/>
        </w:rPr>
        <w:t>爰</w:t>
      </w:r>
      <w:proofErr w:type="gramEnd"/>
      <w:r w:rsidR="00BA325A">
        <w:rPr>
          <w:rFonts w:ascii="標楷體" w:eastAsia="標楷體" w:hAnsi="標楷體" w:hint="eastAsia"/>
          <w:color w:val="000000"/>
          <w:sz w:val="28"/>
          <w:szCs w:val="28"/>
        </w:rPr>
        <w:t>擬具本標準第一百</w:t>
      </w:r>
      <w:r w:rsidR="00BB1FA8">
        <w:rPr>
          <w:rFonts w:ascii="標楷體" w:eastAsia="標楷體" w:hAnsi="標楷體" w:hint="eastAsia"/>
          <w:color w:val="000000"/>
          <w:sz w:val="28"/>
          <w:szCs w:val="28"/>
        </w:rPr>
        <w:t>六十六</w:t>
      </w:r>
      <w:r w:rsidR="00BA325A">
        <w:rPr>
          <w:rFonts w:ascii="標楷體" w:eastAsia="標楷體" w:hAnsi="標楷體" w:hint="eastAsia"/>
          <w:color w:val="000000"/>
          <w:sz w:val="28"/>
          <w:szCs w:val="28"/>
        </w:rPr>
        <w:t>條</w:t>
      </w:r>
      <w:r w:rsidR="00902B13">
        <w:rPr>
          <w:rFonts w:ascii="標楷體" w:eastAsia="標楷體" w:hAnsi="標楷體" w:hint="eastAsia"/>
          <w:color w:val="000000"/>
          <w:sz w:val="28"/>
          <w:szCs w:val="28"/>
        </w:rPr>
        <w:t>修正草案</w:t>
      </w:r>
      <w:r w:rsidR="00BB1FA8" w:rsidRPr="00BB1FA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9F4C93" w14:textId="77777777" w:rsidR="001D55CE" w:rsidRPr="00F77D57" w:rsidRDefault="001D55CE" w:rsidP="001D55CE">
      <w:pPr>
        <w:pStyle w:val="a6"/>
        <w:tabs>
          <w:tab w:val="clear" w:pos="1650"/>
          <w:tab w:val="left" w:pos="0"/>
        </w:tabs>
        <w:kinsoku w:val="0"/>
        <w:autoSpaceDE w:val="0"/>
        <w:autoSpaceDN w:val="0"/>
        <w:spacing w:line="240" w:lineRule="auto"/>
        <w:ind w:left="56" w:firstLineChars="0" w:firstLine="0"/>
        <w:rPr>
          <w:rFonts w:ascii="標楷體" w:eastAsia="標楷體" w:hAnsi="標楷體"/>
          <w:sz w:val="40"/>
          <w:szCs w:val="40"/>
        </w:rPr>
      </w:pPr>
      <w:r w:rsidRPr="00F77D57">
        <w:rPr>
          <w:rFonts w:ascii="標楷體" w:eastAsia="標楷體" w:hAnsi="標楷體"/>
          <w:sz w:val="40"/>
          <w:szCs w:val="40"/>
        </w:rPr>
        <w:lastRenderedPageBreak/>
        <w:t>動物用藥品檢驗標準</w:t>
      </w:r>
      <w:r>
        <w:rPr>
          <w:rFonts w:ascii="標楷體" w:eastAsia="標楷體" w:hAnsi="標楷體" w:hint="eastAsia"/>
          <w:sz w:val="40"/>
          <w:szCs w:val="40"/>
        </w:rPr>
        <w:t>第一百六十六條</w:t>
      </w:r>
      <w:r w:rsidRPr="00F77D57">
        <w:rPr>
          <w:rFonts w:ascii="標楷體" w:eastAsia="標楷體" w:hAnsi="標楷體"/>
          <w:sz w:val="40"/>
          <w:szCs w:val="40"/>
        </w:rPr>
        <w:t>修正草案</w:t>
      </w:r>
      <w:r>
        <w:rPr>
          <w:rFonts w:ascii="標楷體" w:eastAsia="標楷體" w:hAnsi="標楷體" w:hint="eastAsia"/>
          <w:sz w:val="40"/>
          <w:szCs w:val="40"/>
        </w:rPr>
        <w:t>條文</w:t>
      </w:r>
      <w:r w:rsidRPr="00F77D57">
        <w:rPr>
          <w:rFonts w:ascii="標楷體" w:eastAsia="標楷體" w:hAnsi="標楷體"/>
          <w:sz w:val="40"/>
          <w:szCs w:val="40"/>
        </w:rPr>
        <w:t>對照表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40"/>
        <w:gridCol w:w="2940"/>
        <w:gridCol w:w="2868"/>
      </w:tblGrid>
      <w:tr w:rsidR="001D55CE" w:rsidRPr="00794CBC" w14:paraId="18894593" w14:textId="77777777" w:rsidTr="001D55CE">
        <w:tc>
          <w:tcPr>
            <w:tcW w:w="2940" w:type="dxa"/>
          </w:tcPr>
          <w:p w14:paraId="224991D9" w14:textId="77777777" w:rsidR="001D55CE" w:rsidRPr="00794CBC" w:rsidRDefault="001D55CE" w:rsidP="001D55CE">
            <w:pPr>
              <w:pStyle w:val="a6"/>
              <w:tabs>
                <w:tab w:val="clear" w:pos="1650"/>
                <w:tab w:val="left" w:pos="0"/>
              </w:tabs>
              <w:kinsoku w:val="0"/>
              <w:autoSpaceDE w:val="0"/>
              <w:autoSpaceDN w:val="0"/>
              <w:spacing w:line="240" w:lineRule="auto"/>
              <w:ind w:left="0" w:firstLineChars="0" w:firstLine="0"/>
              <w:textAlignment w:val="center"/>
              <w:rPr>
                <w:rFonts w:ascii="標楷體" w:eastAsia="標楷體" w:hAnsi="標楷體"/>
                <w:sz w:val="24"/>
              </w:rPr>
            </w:pPr>
            <w:r w:rsidRPr="00794CBC">
              <w:rPr>
                <w:rFonts w:ascii="標楷體" w:eastAsia="標楷體" w:hAnsi="標楷體"/>
                <w:sz w:val="24"/>
              </w:rPr>
              <w:t>修正條文</w:t>
            </w:r>
          </w:p>
        </w:tc>
        <w:tc>
          <w:tcPr>
            <w:tcW w:w="2940" w:type="dxa"/>
          </w:tcPr>
          <w:p w14:paraId="7B6D01A1" w14:textId="77777777" w:rsidR="001D55CE" w:rsidRPr="00794CBC" w:rsidRDefault="001D55CE" w:rsidP="001D55CE">
            <w:pPr>
              <w:pStyle w:val="a6"/>
              <w:tabs>
                <w:tab w:val="clear" w:pos="1650"/>
                <w:tab w:val="left" w:pos="0"/>
              </w:tabs>
              <w:kinsoku w:val="0"/>
              <w:autoSpaceDE w:val="0"/>
              <w:autoSpaceDN w:val="0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794CBC">
              <w:rPr>
                <w:rFonts w:ascii="標楷體" w:eastAsia="標楷體" w:hAnsi="標楷體"/>
                <w:sz w:val="24"/>
              </w:rPr>
              <w:t>現行條文</w:t>
            </w:r>
          </w:p>
        </w:tc>
        <w:tc>
          <w:tcPr>
            <w:tcW w:w="2868" w:type="dxa"/>
          </w:tcPr>
          <w:p w14:paraId="1FE4687D" w14:textId="77777777" w:rsidR="001D55CE" w:rsidRPr="00794CBC" w:rsidRDefault="001D55CE" w:rsidP="001D55CE">
            <w:pPr>
              <w:pStyle w:val="a6"/>
              <w:tabs>
                <w:tab w:val="clear" w:pos="1650"/>
                <w:tab w:val="left" w:pos="0"/>
              </w:tabs>
              <w:kinsoku w:val="0"/>
              <w:autoSpaceDE w:val="0"/>
              <w:autoSpaceDN w:val="0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794CBC">
              <w:rPr>
                <w:rFonts w:ascii="標楷體" w:eastAsia="標楷體" w:hAnsi="標楷體"/>
                <w:sz w:val="24"/>
              </w:rPr>
              <w:t>說      明</w:t>
            </w:r>
          </w:p>
        </w:tc>
      </w:tr>
      <w:tr w:rsidR="001D55CE" w:rsidRPr="00794CBC" w14:paraId="669FF574" w14:textId="77777777" w:rsidTr="001D55CE">
        <w:trPr>
          <w:trHeight w:val="821"/>
        </w:trPr>
        <w:tc>
          <w:tcPr>
            <w:tcW w:w="2940" w:type="dxa"/>
          </w:tcPr>
          <w:p w14:paraId="653EDAC9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="240" w:hangingChars="100" w:hanging="240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第一百六十六條  口蹄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疫不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活化疫苗須符合下列條件：</w:t>
            </w:r>
          </w:p>
          <w:p w14:paraId="375C4EAD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105" w:left="768" w:hangingChars="215" w:hanging="516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一、特性試驗：須具固有理學性狀，且無異物及異常氣味。</w:t>
            </w:r>
          </w:p>
          <w:p w14:paraId="6B430DC6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105" w:left="768" w:hangingChars="215" w:hanging="516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二、病毒株基因型別認定試驗：不得檢出原標籤以外之病毒株。</w:t>
            </w:r>
          </w:p>
          <w:p w14:paraId="06745759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105" w:left="768" w:hangingChars="215" w:hanging="516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三、無菌試驗：檢體經硫酸乙醇酸鹽（</w:t>
            </w:r>
            <w:proofErr w:type="spellStart"/>
            <w:r w:rsidRPr="00794CBC">
              <w:rPr>
                <w:rFonts w:ascii="標楷體" w:eastAsia="標楷體" w:hAnsi="標楷體" w:hint="eastAsia"/>
                <w:szCs w:val="24"/>
              </w:rPr>
              <w:t>Thioglycollate</w:t>
            </w:r>
            <w:proofErr w:type="spellEnd"/>
            <w:r w:rsidRPr="00794CBC">
              <w:rPr>
                <w:rFonts w:ascii="標楷體" w:eastAsia="標楷體" w:hAnsi="標楷體" w:hint="eastAsia"/>
                <w:szCs w:val="24"/>
              </w:rPr>
              <w:t>）、胰蛋白酵素黃豆瓊脂（Tryptic soy agar）及馬血液培養基培養，不得含有任何可被檢出之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活菌。</w:t>
            </w:r>
            <w:proofErr w:type="gramEnd"/>
          </w:p>
          <w:p w14:paraId="3847B2E5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105" w:left="768" w:hangingChars="215" w:hanging="516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四、防腐劑含有量試驗：石碳酸蟻醛之含有量須為○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五％以下，Thimerosal   之含量須在○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○一％以下。</w:t>
            </w:r>
          </w:p>
          <w:p w14:paraId="31A6D28F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105" w:left="768" w:hangingChars="215" w:hanging="516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五、安全試驗：</w:t>
            </w:r>
          </w:p>
          <w:p w14:paraId="67E889D8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249" w:left="1270" w:hangingChars="280" w:hanging="672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（一）小白鼠：選體重十三至十五公克之小白鼠五隻，以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皮下注射本劑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○．二公撮，觀察七日，須無任何不良反應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而健存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EFD11C3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249" w:left="1270" w:hangingChars="280" w:hanging="672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（二）天竺鼠：選體重二五○至三○○公克之天竺鼠二隻，以</w:t>
            </w:r>
            <w:r w:rsidRPr="00794CBC">
              <w:rPr>
                <w:rFonts w:ascii="標楷體" w:eastAsia="標楷體" w:hAnsi="標楷體" w:hint="eastAsia"/>
                <w:szCs w:val="24"/>
              </w:rPr>
              <w:lastRenderedPageBreak/>
              <w:t>皮下注射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本劑○‧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六公撮，觀察七日，須無任何不良反應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而健存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D9F4E11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249" w:left="1270" w:hangingChars="280" w:hanging="672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（三）小豬：選八至十二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週齡口蹄疫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抗體陰性小豬四頭，任選一頭於耳根後肌肉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注射本劑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二劑量，另選一頭分別以○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五公撮注射於左前腳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之蹄冠部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，剩餘二頭與之同居飼養。觀察十日，皆不得有口蹄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之病變。</w:t>
            </w:r>
          </w:p>
          <w:p w14:paraId="5382AF0D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105" w:left="768" w:hangingChars="215" w:hanging="516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六、效力試驗：</w:t>
            </w:r>
            <w:r w:rsidR="004C441F">
              <w:rPr>
                <w:rFonts w:ascii="標楷體" w:eastAsia="標楷體" w:hAnsi="標楷體" w:hint="eastAsia"/>
                <w:szCs w:val="24"/>
                <w:u w:val="single"/>
              </w:rPr>
              <w:t>依下列方法擇</w:t>
            </w:r>
            <w:proofErr w:type="gramStart"/>
            <w:r w:rsidR="00794CBC">
              <w:rPr>
                <w:rFonts w:ascii="標楷體" w:eastAsia="標楷體" w:hAnsi="標楷體" w:hint="eastAsia"/>
                <w:szCs w:val="24"/>
                <w:u w:val="single"/>
              </w:rPr>
              <w:t>一</w:t>
            </w:r>
            <w:proofErr w:type="gramEnd"/>
            <w:r w:rsidR="00794CBC" w:rsidRPr="00794CBC">
              <w:rPr>
                <w:rFonts w:ascii="標楷體" w:eastAsia="標楷體" w:hAnsi="標楷體" w:hint="eastAsia"/>
                <w:szCs w:val="24"/>
                <w:u w:val="single"/>
              </w:rPr>
              <w:t>試驗</w:t>
            </w:r>
            <w:r w:rsidR="004C441F">
              <w:rPr>
                <w:rFonts w:ascii="標楷體" w:eastAsia="標楷體" w:hAnsi="標楷體" w:hint="eastAsia"/>
                <w:szCs w:val="24"/>
                <w:u w:val="single"/>
              </w:rPr>
              <w:t>：</w:t>
            </w:r>
            <w:r w:rsidRPr="00794CB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57826D7F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249" w:left="1270" w:hangingChars="280" w:hanging="672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  <w:u w:val="single"/>
              </w:rPr>
              <w:t>（一）</w:t>
            </w:r>
            <w:r w:rsidR="004C441F">
              <w:rPr>
                <w:rFonts w:ascii="標楷體" w:eastAsia="標楷體" w:hAnsi="標楷體" w:hint="eastAsia"/>
                <w:szCs w:val="24"/>
                <w:u w:val="single"/>
              </w:rPr>
              <w:t>測定中和抗體試驗：</w:t>
            </w:r>
            <w:r w:rsidRPr="00794CBC">
              <w:rPr>
                <w:rFonts w:ascii="標楷體" w:eastAsia="標楷體" w:hAnsi="標楷體" w:hint="eastAsia"/>
                <w:szCs w:val="24"/>
              </w:rPr>
              <w:t>選八至十二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週齡口蹄疫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抗體陰性小豬七頭，任選五頭於耳根後各肌肉注射本劑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劑量，另二頭為對照，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於本劑注射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後之二十一天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血，測定中和抗體，該血清經與特定血清型之一○○TCID</w:t>
            </w:r>
            <w:r w:rsidR="00463ACF">
              <w:rPr>
                <w:rFonts w:ascii="標楷體" w:eastAsia="標楷體" w:hAnsi="標楷體" w:hint="eastAsia"/>
                <w:szCs w:val="24"/>
                <w:vertAlign w:val="subscript"/>
              </w:rPr>
              <w:t>50</w:t>
            </w:r>
            <w:r w:rsidRPr="00794CBC">
              <w:rPr>
                <w:rFonts w:ascii="標楷體" w:eastAsia="標楷體" w:hAnsi="標楷體" w:hint="eastAsia"/>
                <w:szCs w:val="24"/>
              </w:rPr>
              <w:t>/</w:t>
            </w:r>
            <w:smartTag w:uri="urn:schemas-microsoft-com:office:smarttags" w:element="chmetcnv">
              <w:smartTagPr>
                <w:attr w:name="UnitName" w:val="m"/>
                <w:attr w:name="SourceValue" w:val="0.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94CBC">
                <w:rPr>
                  <w:rFonts w:ascii="標楷體" w:eastAsia="標楷體" w:hAnsi="標楷體" w:hint="eastAsia"/>
                  <w:szCs w:val="24"/>
                </w:rPr>
                <w:t>0.05m</w:t>
              </w:r>
            </w:smartTag>
            <w:r w:rsidR="00463ACF">
              <w:rPr>
                <w:rFonts w:ascii="標楷體" w:eastAsia="標楷體" w:hAnsi="標楷體" w:hint="eastAsia"/>
                <w:szCs w:val="24"/>
              </w:rPr>
              <w:t>l</w:t>
            </w:r>
            <w:r w:rsidRPr="00794CBC">
              <w:rPr>
                <w:rFonts w:ascii="標楷體" w:eastAsia="標楷體" w:hAnsi="標楷體" w:hint="eastAsia"/>
                <w:szCs w:val="24"/>
              </w:rPr>
              <w:t>之病毒液等量混合，並於攝氏三十七度，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感作一小時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。疫苗注射豬隻之中和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抗體價須八○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％以上或其幾何平均值達三十二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以上且不得含有特定血清型以外之抗體，對照須為陰性。</w:t>
            </w:r>
          </w:p>
          <w:p w14:paraId="41AF90EE" w14:textId="77777777" w:rsidR="00463ACF" w:rsidRDefault="001D55CE" w:rsidP="001D55CE">
            <w:pPr>
              <w:kinsoku w:val="0"/>
              <w:autoSpaceDE w:val="0"/>
              <w:autoSpaceDN w:val="0"/>
              <w:adjustRightInd w:val="0"/>
              <w:ind w:leftChars="249" w:left="1270" w:hangingChars="280" w:hanging="672"/>
              <w:jc w:val="both"/>
              <w:textAlignment w:val="center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794CBC">
              <w:rPr>
                <w:rFonts w:ascii="標楷體" w:eastAsia="標楷體" w:hAnsi="標楷體" w:hint="eastAsia"/>
                <w:szCs w:val="24"/>
                <w:u w:val="single"/>
              </w:rPr>
              <w:t>（二）</w:t>
            </w:r>
            <w:r w:rsidR="00463ACF">
              <w:rPr>
                <w:rFonts w:ascii="標楷體" w:eastAsia="標楷體" w:hAnsi="標楷體" w:hint="eastAsia"/>
                <w:szCs w:val="24"/>
                <w:u w:val="single"/>
              </w:rPr>
              <w:t>攻毒試驗：</w:t>
            </w:r>
          </w:p>
          <w:p w14:paraId="0757D49A" w14:textId="77777777" w:rsidR="00463ACF" w:rsidRDefault="00463ACF" w:rsidP="00466FF6">
            <w:pPr>
              <w:kinsoku w:val="0"/>
              <w:adjustRightInd w:val="0"/>
              <w:ind w:leftChars="250" w:left="1622" w:hangingChars="426" w:hanging="1022"/>
              <w:jc w:val="both"/>
              <w:textAlignment w:val="center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463ACF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選八至十二</w:t>
            </w:r>
            <w:proofErr w:type="gramStart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週齡口蹄疫</w:t>
            </w:r>
            <w:proofErr w:type="gramEnd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抗體陰性小豬十五頭，分成三組，每組五頭。將本疫苗分為</w:t>
            </w:r>
            <w:proofErr w:type="gramStart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一</w:t>
            </w:r>
            <w:proofErr w:type="gramEnd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劑量、四分之一劑量及十六分之</w:t>
            </w:r>
            <w:proofErr w:type="gramStart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ㄧ</w:t>
            </w:r>
            <w:proofErr w:type="gramEnd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劑量，每一組分別於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每一頭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耳根後肌肉注射，接種後第二十八日，連同對照組二頭，</w:t>
            </w:r>
            <w:proofErr w:type="gramStart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蹄球皮</w:t>
            </w:r>
            <w:proofErr w:type="gramEnd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內注射</w:t>
            </w:r>
            <w:proofErr w:type="gramStart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強毒○‧</w:t>
            </w:r>
            <w:proofErr w:type="gramEnd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二m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l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（含10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  <w:vertAlign w:val="superscript"/>
              </w:rPr>
              <w:t xml:space="preserve">4 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TCID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  <w:vertAlign w:val="subscript"/>
              </w:rPr>
              <w:t xml:space="preserve">50 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），連續觀察十日。</w:t>
            </w:r>
            <w:proofErr w:type="gramStart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對照組豬隻</w:t>
            </w:r>
            <w:proofErr w:type="gramEnd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均至少有一個</w:t>
            </w:r>
            <w:proofErr w:type="gramStart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蹄</w:t>
            </w:r>
            <w:proofErr w:type="gramEnd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出現水泡或潰瘍病灶，</w:t>
            </w:r>
            <w:proofErr w:type="gramStart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免疫豬若出現</w:t>
            </w:r>
            <w:proofErr w:type="gramEnd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任何口蹄</w:t>
            </w:r>
            <w:proofErr w:type="gramStart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疫</w:t>
            </w:r>
            <w:proofErr w:type="gramEnd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症狀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即判定為不具保護力。出現</w:t>
            </w:r>
            <w:proofErr w:type="gramStart"/>
            <w:r>
              <w:rPr>
                <w:rFonts w:ascii="標楷體" w:eastAsia="標楷體" w:hAnsi="標楷體" w:hint="eastAsia"/>
                <w:szCs w:val="24"/>
                <w:u w:val="single"/>
              </w:rPr>
              <w:t>發病豬應及時</w:t>
            </w:r>
            <w:proofErr w:type="gramEnd"/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隔離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4F83DF20" w14:textId="77777777" w:rsidR="001D55CE" w:rsidRPr="00794CBC" w:rsidRDefault="00463ACF" w:rsidP="00463ACF">
            <w:pPr>
              <w:kinsoku w:val="0"/>
              <w:autoSpaceDE w:val="0"/>
              <w:autoSpaceDN w:val="0"/>
              <w:adjustRightInd w:val="0"/>
              <w:ind w:leftChars="250" w:left="1622" w:hangingChars="426" w:hanging="1022"/>
              <w:jc w:val="both"/>
              <w:textAlignment w:val="center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463ACF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Cs w:val="24"/>
                <w:u w:val="single"/>
              </w:rPr>
              <w:t>依前目之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>疫苗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免疫豬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之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保護數計算疫苗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之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PD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  <w:vertAlign w:val="subscript"/>
              </w:rPr>
              <w:t>50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，每劑量疫苗至少含六PD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  <w:vertAlign w:val="subscript"/>
              </w:rPr>
              <w:t>50</w:t>
            </w:r>
            <w:r w:rsidR="001D55CE" w:rsidRPr="00794CBC">
              <w:rPr>
                <w:rFonts w:ascii="標楷體" w:eastAsia="標楷體" w:hAnsi="標楷體" w:hint="eastAsia"/>
                <w:szCs w:val="24"/>
                <w:u w:val="single"/>
              </w:rPr>
              <w:t>以上。</w:t>
            </w:r>
          </w:p>
          <w:p w14:paraId="1113BDE6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firstLineChars="110" w:firstLine="264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 xml:space="preserve">  前項試驗確定困難時，應予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檢。</w:t>
            </w:r>
          </w:p>
        </w:tc>
        <w:tc>
          <w:tcPr>
            <w:tcW w:w="2940" w:type="dxa"/>
          </w:tcPr>
          <w:p w14:paraId="3D68C9EA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="240" w:hangingChars="100" w:hanging="240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lastRenderedPageBreak/>
              <w:t>第一百六十六條  口蹄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疫不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活化疫苗須符合下列條件：</w:t>
            </w:r>
          </w:p>
          <w:p w14:paraId="7816FA09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105" w:left="768" w:hangingChars="215" w:hanging="516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一、特性試驗：須具固有理學性狀，且無異物及異常氣味。</w:t>
            </w:r>
          </w:p>
          <w:p w14:paraId="248317EB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105" w:left="768" w:hangingChars="215" w:hanging="516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二、病毒株基因型別認定試驗：不得檢出原標籤以外之病毒株。</w:t>
            </w:r>
          </w:p>
          <w:p w14:paraId="54395488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105" w:left="768" w:hangingChars="215" w:hanging="516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三、無菌試驗：檢體經硫酸乙醇酸鹽（</w:t>
            </w:r>
            <w:proofErr w:type="spellStart"/>
            <w:r w:rsidRPr="00794CBC">
              <w:rPr>
                <w:rFonts w:ascii="標楷體" w:eastAsia="標楷體" w:hAnsi="標楷體" w:hint="eastAsia"/>
                <w:szCs w:val="24"/>
              </w:rPr>
              <w:t>Thioglycollate</w:t>
            </w:r>
            <w:proofErr w:type="spellEnd"/>
            <w:r w:rsidRPr="00794CBC">
              <w:rPr>
                <w:rFonts w:ascii="標楷體" w:eastAsia="標楷體" w:hAnsi="標楷體" w:hint="eastAsia"/>
                <w:szCs w:val="24"/>
              </w:rPr>
              <w:t>）、胰蛋白酵素黃豆瓊脂（Tryptic soy agar）及馬血液培養基培養，不得含有任何可被檢出之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活菌。</w:t>
            </w:r>
            <w:proofErr w:type="gramEnd"/>
          </w:p>
          <w:p w14:paraId="366CCE28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105" w:left="768" w:hangingChars="215" w:hanging="516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四、防腐劑含有量試驗：石碳酸蟻醛之含有量須為○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五％以下，Thimerosal   之含量須在○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○一％以下。</w:t>
            </w:r>
          </w:p>
          <w:p w14:paraId="072DABD4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105" w:left="768" w:hangingChars="215" w:hanging="516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五、安全試驗：</w:t>
            </w:r>
          </w:p>
          <w:p w14:paraId="7E258894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249" w:left="1270" w:hangingChars="280" w:hanging="672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（一）小白鼠：選體重十三至十五公克之小白鼠五隻，以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皮下注射本劑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○．二公撮，觀察七日，須無任何不良反應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而健存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0F5882F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249" w:left="1270" w:hangingChars="280" w:hanging="672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（二）天竺鼠：選體重二五○至三○○公克之天竺鼠二隻，以</w:t>
            </w:r>
            <w:r w:rsidRPr="00794CBC">
              <w:rPr>
                <w:rFonts w:ascii="標楷體" w:eastAsia="標楷體" w:hAnsi="標楷體" w:hint="eastAsia"/>
                <w:szCs w:val="24"/>
              </w:rPr>
              <w:lastRenderedPageBreak/>
              <w:t>皮下注射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本劑○‧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六公撮，觀察七日，須無任何不良反應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而健存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67634A2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249" w:left="1270" w:hangingChars="280" w:hanging="672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（三）小豬：選八至十二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週齡口蹄疫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抗體陰性小豬四頭，任選一頭於耳根後肌肉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注射本劑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二劑量，另選一頭分別以○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五公撮注射於左前腳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之蹄冠部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，剩餘二頭與之同居飼養。觀察十日，皆不得有口蹄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之病變。</w:t>
            </w:r>
          </w:p>
          <w:p w14:paraId="5FCE2895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leftChars="105" w:left="768" w:hangingChars="215" w:hanging="516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>六、效力試驗：選八至十二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週齡口蹄疫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抗體陰性小豬七頭，任選五頭於耳根後各肌肉注射本劑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劑量，另二頭為對照，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於本劑注射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後之二十一天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血，測定中和抗體，該血清經與特定血清型之一○○TCID</w:t>
            </w:r>
            <w:r w:rsidRPr="00794CBC">
              <w:rPr>
                <w:rFonts w:ascii="標楷體" w:eastAsia="標楷體" w:hAnsi="標楷體" w:hint="eastAsia"/>
                <w:szCs w:val="24"/>
                <w:vertAlign w:val="subscript"/>
              </w:rPr>
              <w:t>50</w:t>
            </w:r>
            <w:r w:rsidRPr="00794CBC">
              <w:rPr>
                <w:rFonts w:ascii="標楷體" w:eastAsia="標楷體" w:hAnsi="標楷體" w:hint="eastAsia"/>
                <w:szCs w:val="24"/>
              </w:rPr>
              <w:t xml:space="preserve"> /</w:t>
            </w:r>
            <w:smartTag w:uri="urn:schemas-microsoft-com:office:smarttags" w:element="chmetcnv">
              <w:smartTagPr>
                <w:attr w:name="UnitName" w:val="m"/>
                <w:attr w:name="SourceValue" w:val="0.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94CBC">
                <w:rPr>
                  <w:rFonts w:ascii="標楷體" w:eastAsia="標楷體" w:hAnsi="標楷體" w:hint="eastAsia"/>
                  <w:szCs w:val="24"/>
                </w:rPr>
                <w:t>0.05m</w:t>
              </w:r>
            </w:smartTag>
            <w:r w:rsidRPr="00794CBC">
              <w:rPr>
                <w:rFonts w:ascii="標楷體" w:eastAsia="標楷體" w:hAnsi="標楷體" w:hint="eastAsia"/>
                <w:szCs w:val="24"/>
              </w:rPr>
              <w:t>L之病毒液等量混合，並於攝氏三十七度，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感作一小時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。疫苗注射豬隻之中和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抗體價須八○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％以上或其幾何平均值達三十二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以上且不得含有特定血清型以外之抗體，對照須為陰性。</w:t>
            </w:r>
          </w:p>
          <w:p w14:paraId="02F7B97E" w14:textId="77777777" w:rsidR="001D55CE" w:rsidRPr="00794CBC" w:rsidRDefault="001D55CE" w:rsidP="001D55CE">
            <w:pPr>
              <w:kinsoku w:val="0"/>
              <w:autoSpaceDE w:val="0"/>
              <w:autoSpaceDN w:val="0"/>
              <w:adjustRightInd w:val="0"/>
              <w:ind w:firstLineChars="110" w:firstLine="264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794CBC">
              <w:rPr>
                <w:rFonts w:ascii="標楷體" w:eastAsia="標楷體" w:hAnsi="標楷體" w:hint="eastAsia"/>
                <w:szCs w:val="24"/>
              </w:rPr>
              <w:t xml:space="preserve">  前項試驗確定困難時，應予</w:t>
            </w:r>
            <w:proofErr w:type="gramStart"/>
            <w:r w:rsidRPr="00794CBC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794CBC">
              <w:rPr>
                <w:rFonts w:ascii="標楷體" w:eastAsia="標楷體" w:hAnsi="標楷體" w:hint="eastAsia"/>
                <w:szCs w:val="24"/>
              </w:rPr>
              <w:t>檢。</w:t>
            </w:r>
          </w:p>
        </w:tc>
        <w:tc>
          <w:tcPr>
            <w:tcW w:w="2868" w:type="dxa"/>
          </w:tcPr>
          <w:p w14:paraId="7493D6AF" w14:textId="77777777" w:rsidR="001D55CE" w:rsidRPr="00794CBC" w:rsidRDefault="00952214" w:rsidP="00952214">
            <w:pPr>
              <w:pStyle w:val="a6"/>
              <w:tabs>
                <w:tab w:val="clear" w:pos="1650"/>
                <w:tab w:val="left" w:pos="0"/>
              </w:tabs>
              <w:kinsoku w:val="0"/>
              <w:autoSpaceDE w:val="0"/>
              <w:autoSpaceDN w:val="0"/>
              <w:spacing w:line="240" w:lineRule="auto"/>
              <w:ind w:left="0" w:firstLineChars="0" w:firstLine="0"/>
              <w:rPr>
                <w:rFonts w:ascii="標楷體" w:eastAsia="標楷體" w:hAnsi="標楷體" w:hint="eastAsia"/>
                <w:sz w:val="24"/>
              </w:rPr>
            </w:pPr>
            <w:r w:rsidRPr="00794CBC">
              <w:rPr>
                <w:rFonts w:ascii="標楷體" w:eastAsia="標楷體" w:hAnsi="標楷體" w:hint="eastAsia"/>
                <w:sz w:val="24"/>
              </w:rPr>
              <w:lastRenderedPageBreak/>
              <w:t>為符合世界動物衛生組織（World Organization for Animal Health, OIE）規定及國際趨勢，依據其手冊規定</w:t>
            </w:r>
            <w:proofErr w:type="gramStart"/>
            <w:r w:rsidRPr="00794CBC">
              <w:rPr>
                <w:rFonts w:ascii="標楷體" w:eastAsia="標楷體" w:hAnsi="標楷體" w:hint="eastAsia"/>
                <w:sz w:val="24"/>
              </w:rPr>
              <w:t>（</w:t>
            </w:r>
            <w:proofErr w:type="gramEnd"/>
            <w:r w:rsidRPr="00794CBC">
              <w:rPr>
                <w:rFonts w:ascii="標楷體" w:eastAsia="標楷體" w:hAnsi="標楷體" w:hint="eastAsia"/>
                <w:sz w:val="24"/>
              </w:rPr>
              <w:t xml:space="preserve">Manual of Diagnostic Tests and Vaccines for </w:t>
            </w:r>
            <w:proofErr w:type="spellStart"/>
            <w:r w:rsidRPr="00794CBC">
              <w:rPr>
                <w:rFonts w:ascii="標楷體" w:eastAsia="標楷體" w:hAnsi="標楷體" w:hint="eastAsia"/>
                <w:sz w:val="24"/>
              </w:rPr>
              <w:t>Terresrial</w:t>
            </w:r>
            <w:proofErr w:type="spellEnd"/>
            <w:r w:rsidRPr="00794CBC">
              <w:rPr>
                <w:rFonts w:ascii="標楷體" w:eastAsia="標楷體" w:hAnsi="標楷體" w:hint="eastAsia"/>
                <w:sz w:val="24"/>
              </w:rPr>
              <w:t xml:space="preserve"> Animals, May 2009, Chapter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94CBC">
                <w:rPr>
                  <w:rFonts w:ascii="標楷體" w:eastAsia="標楷體" w:hAnsi="標楷體" w:hint="eastAsia"/>
                  <w:sz w:val="24"/>
                </w:rPr>
                <w:t>2.1.5</w:t>
              </w:r>
            </w:smartTag>
            <w:r w:rsidRPr="00794CBC">
              <w:rPr>
                <w:rFonts w:ascii="標楷體" w:eastAsia="標楷體" w:hAnsi="標楷體" w:hint="eastAsia"/>
                <w:sz w:val="24"/>
              </w:rPr>
              <w:t>. Foot and Mouth Disease</w:t>
            </w:r>
            <w:proofErr w:type="gramStart"/>
            <w:r w:rsidRPr="00794CBC">
              <w:rPr>
                <w:rFonts w:ascii="標楷體" w:eastAsia="標楷體" w:hAnsi="標楷體" w:hint="eastAsia"/>
                <w:sz w:val="24"/>
              </w:rPr>
              <w:t>）</w:t>
            </w:r>
            <w:proofErr w:type="gramEnd"/>
            <w:r w:rsidRPr="00794CBC">
              <w:rPr>
                <w:rFonts w:ascii="標楷體" w:eastAsia="標楷體" w:hAnsi="標楷體" w:hint="eastAsia"/>
                <w:sz w:val="24"/>
              </w:rPr>
              <w:t>之方法，增列「口蹄</w:t>
            </w:r>
            <w:proofErr w:type="gramStart"/>
            <w:r w:rsidRPr="00794CBC">
              <w:rPr>
                <w:rFonts w:ascii="標楷體" w:eastAsia="標楷體" w:hAnsi="標楷體" w:hint="eastAsia"/>
                <w:sz w:val="24"/>
              </w:rPr>
              <w:t>疫不</w:t>
            </w:r>
            <w:proofErr w:type="gramEnd"/>
            <w:r w:rsidRPr="00794CBC">
              <w:rPr>
                <w:rFonts w:ascii="標楷體" w:eastAsia="標楷體" w:hAnsi="標楷體" w:hint="eastAsia"/>
                <w:sz w:val="24"/>
              </w:rPr>
              <w:t>活化疫苗」</w:t>
            </w:r>
            <w:proofErr w:type="gramStart"/>
            <w:r w:rsidRPr="00794CBC">
              <w:rPr>
                <w:rFonts w:ascii="標楷體" w:eastAsia="標楷體" w:hAnsi="標楷體" w:hint="eastAsia"/>
                <w:sz w:val="24"/>
              </w:rPr>
              <w:t>豬隻攻毒</w:t>
            </w:r>
            <w:proofErr w:type="gramEnd"/>
            <w:r w:rsidRPr="00794CBC">
              <w:rPr>
                <w:rFonts w:ascii="標楷體" w:eastAsia="標楷體" w:hAnsi="標楷體" w:hint="eastAsia"/>
                <w:sz w:val="24"/>
              </w:rPr>
              <w:t>試驗為廠商效力試驗時之</w:t>
            </w:r>
            <w:r w:rsidR="004C441F">
              <w:rPr>
                <w:rFonts w:ascii="標楷體" w:eastAsia="標楷體" w:hAnsi="標楷體" w:hint="eastAsia"/>
                <w:sz w:val="24"/>
              </w:rPr>
              <w:t>方式</w:t>
            </w:r>
            <w:r w:rsidRPr="00794CBC">
              <w:rPr>
                <w:rFonts w:ascii="標楷體" w:eastAsia="標楷體" w:hAnsi="標楷體" w:hint="eastAsia"/>
                <w:sz w:val="24"/>
              </w:rPr>
              <w:t>，</w:t>
            </w:r>
            <w:proofErr w:type="gramStart"/>
            <w:r w:rsidRPr="00794CBC">
              <w:rPr>
                <w:rFonts w:ascii="標楷體" w:eastAsia="標楷體" w:hAnsi="標楷體" w:hint="eastAsia"/>
                <w:sz w:val="24"/>
              </w:rPr>
              <w:t>爰</w:t>
            </w:r>
            <w:proofErr w:type="gramEnd"/>
            <w:r w:rsidRPr="00794CBC">
              <w:rPr>
                <w:rFonts w:ascii="標楷體" w:eastAsia="標楷體" w:hAnsi="標楷體" w:hint="eastAsia"/>
                <w:sz w:val="24"/>
              </w:rPr>
              <w:t>於第一百六十六條</w:t>
            </w:r>
            <w:r w:rsidR="004C441F">
              <w:rPr>
                <w:rFonts w:ascii="標楷體" w:eastAsia="標楷體" w:hAnsi="標楷體" w:hint="eastAsia"/>
                <w:sz w:val="24"/>
              </w:rPr>
              <w:t>增列</w:t>
            </w:r>
            <w:r w:rsidRPr="00794CBC">
              <w:rPr>
                <w:rFonts w:ascii="標楷體" w:eastAsia="標楷體" w:hAnsi="標楷體" w:hint="eastAsia"/>
                <w:sz w:val="24"/>
              </w:rPr>
              <w:t>第一項第六款第二目，</w:t>
            </w:r>
            <w:proofErr w:type="gramStart"/>
            <w:r w:rsidRPr="00794CBC">
              <w:rPr>
                <w:rFonts w:ascii="標楷體" w:eastAsia="標楷體" w:hAnsi="標楷體" w:hint="eastAsia"/>
                <w:sz w:val="24"/>
              </w:rPr>
              <w:t>並酌作文字</w:t>
            </w:r>
            <w:proofErr w:type="gramEnd"/>
            <w:r w:rsidRPr="00794CBC">
              <w:rPr>
                <w:rFonts w:ascii="標楷體" w:eastAsia="標楷體" w:hAnsi="標楷體" w:hint="eastAsia"/>
                <w:sz w:val="24"/>
              </w:rPr>
              <w:t>修正。</w:t>
            </w:r>
          </w:p>
        </w:tc>
      </w:tr>
    </w:tbl>
    <w:p w14:paraId="21985A0E" w14:textId="77777777" w:rsidR="0095686F" w:rsidRPr="001D55CE" w:rsidRDefault="0095686F" w:rsidP="00DA2CAC">
      <w:pPr>
        <w:autoSpaceDE w:val="0"/>
        <w:autoSpaceDN w:val="0"/>
        <w:adjustRightInd w:val="0"/>
        <w:spacing w:line="46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95686F" w:rsidRPr="001D55CE" w:rsidSect="001D55CE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D6C"/>
    <w:multiLevelType w:val="hybridMultilevel"/>
    <w:tmpl w:val="2E945442"/>
    <w:lvl w:ilvl="0" w:tplc="156ADA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AB5341"/>
    <w:multiLevelType w:val="hybridMultilevel"/>
    <w:tmpl w:val="6F629538"/>
    <w:lvl w:ilvl="0" w:tplc="22743110">
      <w:start w:val="1"/>
      <w:numFmt w:val="taiwaneseCountingThousand"/>
      <w:lvlText w:val="%1、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13"/>
    <w:rsid w:val="00010BBB"/>
    <w:rsid w:val="00034EC1"/>
    <w:rsid w:val="00052F11"/>
    <w:rsid w:val="00082FB3"/>
    <w:rsid w:val="000A0EBB"/>
    <w:rsid w:val="000A1EE2"/>
    <w:rsid w:val="000B4F52"/>
    <w:rsid w:val="000E7BCA"/>
    <w:rsid w:val="000F4333"/>
    <w:rsid w:val="001131E4"/>
    <w:rsid w:val="00153326"/>
    <w:rsid w:val="00166B38"/>
    <w:rsid w:val="001A7CE4"/>
    <w:rsid w:val="001C4D9E"/>
    <w:rsid w:val="001D55CE"/>
    <w:rsid w:val="0024117E"/>
    <w:rsid w:val="00277F57"/>
    <w:rsid w:val="002A171D"/>
    <w:rsid w:val="002B4AA2"/>
    <w:rsid w:val="002C255B"/>
    <w:rsid w:val="002E1558"/>
    <w:rsid w:val="003F35E5"/>
    <w:rsid w:val="004438BE"/>
    <w:rsid w:val="00457CEC"/>
    <w:rsid w:val="00463ACF"/>
    <w:rsid w:val="00466FF6"/>
    <w:rsid w:val="00487B07"/>
    <w:rsid w:val="004C13F9"/>
    <w:rsid w:val="004C441F"/>
    <w:rsid w:val="004E052D"/>
    <w:rsid w:val="004F065A"/>
    <w:rsid w:val="00500474"/>
    <w:rsid w:val="00502E72"/>
    <w:rsid w:val="00511F11"/>
    <w:rsid w:val="00541DF0"/>
    <w:rsid w:val="005501CB"/>
    <w:rsid w:val="005631D9"/>
    <w:rsid w:val="00574E57"/>
    <w:rsid w:val="0058076D"/>
    <w:rsid w:val="005811B1"/>
    <w:rsid w:val="005B4CEB"/>
    <w:rsid w:val="005C5212"/>
    <w:rsid w:val="00615B78"/>
    <w:rsid w:val="006C6646"/>
    <w:rsid w:val="006D1393"/>
    <w:rsid w:val="007406D2"/>
    <w:rsid w:val="007632DB"/>
    <w:rsid w:val="007738B8"/>
    <w:rsid w:val="00793060"/>
    <w:rsid w:val="00794CBC"/>
    <w:rsid w:val="007A61BA"/>
    <w:rsid w:val="007C3268"/>
    <w:rsid w:val="007C51BD"/>
    <w:rsid w:val="007C6B9F"/>
    <w:rsid w:val="00800B13"/>
    <w:rsid w:val="00822ACD"/>
    <w:rsid w:val="00841616"/>
    <w:rsid w:val="00855A2F"/>
    <w:rsid w:val="00902B13"/>
    <w:rsid w:val="00906595"/>
    <w:rsid w:val="009310D4"/>
    <w:rsid w:val="009356D5"/>
    <w:rsid w:val="00952214"/>
    <w:rsid w:val="0095686F"/>
    <w:rsid w:val="00966373"/>
    <w:rsid w:val="00977F73"/>
    <w:rsid w:val="009C239F"/>
    <w:rsid w:val="00A05D12"/>
    <w:rsid w:val="00A55312"/>
    <w:rsid w:val="00A60D15"/>
    <w:rsid w:val="00AA70CB"/>
    <w:rsid w:val="00AC47D5"/>
    <w:rsid w:val="00AD0C6F"/>
    <w:rsid w:val="00AF2295"/>
    <w:rsid w:val="00B3405C"/>
    <w:rsid w:val="00BA325A"/>
    <w:rsid w:val="00BB1FA8"/>
    <w:rsid w:val="00BC62EB"/>
    <w:rsid w:val="00BD164C"/>
    <w:rsid w:val="00BD6B1E"/>
    <w:rsid w:val="00BF1C8F"/>
    <w:rsid w:val="00C12F85"/>
    <w:rsid w:val="00C83094"/>
    <w:rsid w:val="00C863FB"/>
    <w:rsid w:val="00C865D4"/>
    <w:rsid w:val="00C95CA6"/>
    <w:rsid w:val="00CA5A68"/>
    <w:rsid w:val="00D110EF"/>
    <w:rsid w:val="00D9344A"/>
    <w:rsid w:val="00DA2CAC"/>
    <w:rsid w:val="00DC7ED8"/>
    <w:rsid w:val="00E02421"/>
    <w:rsid w:val="00E10A90"/>
    <w:rsid w:val="00E335B1"/>
    <w:rsid w:val="00EC3773"/>
    <w:rsid w:val="00FA1B00"/>
    <w:rsid w:val="00FD4D97"/>
    <w:rsid w:val="00FE39D4"/>
    <w:rsid w:val="00FE44BA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45F3A87"/>
  <w15:chartTrackingRefBased/>
  <w15:docId w15:val="{708118E8-2D64-4DFC-926C-E072812A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標楷體"/>
      <w:b/>
      <w:sz w:val="36"/>
    </w:rPr>
  </w:style>
  <w:style w:type="paragraph" w:styleId="a4">
    <w:name w:val="Balloon Text"/>
    <w:basedOn w:val="a"/>
    <w:semiHidden/>
    <w:rsid w:val="00034EC1"/>
    <w:rPr>
      <w:rFonts w:ascii="Arial" w:hAnsi="Arial"/>
      <w:sz w:val="18"/>
      <w:szCs w:val="18"/>
    </w:rPr>
  </w:style>
  <w:style w:type="table" w:styleId="a5">
    <w:name w:val="Table Grid"/>
    <w:basedOn w:val="a1"/>
    <w:rsid w:val="001D55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說明"/>
    <w:basedOn w:val="a"/>
    <w:rsid w:val="001D55CE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Company> 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動物用藥品檢驗標準部分條文修正總說明：</dc:title>
  <dc:subject/>
  <dc:creator>邱垂章</dc:creator>
  <cp:keywords/>
  <dc:description/>
  <cp:lastModifiedBy>Emma</cp:lastModifiedBy>
  <cp:revision>2</cp:revision>
  <cp:lastPrinted>2011-11-16T06:14:00Z</cp:lastPrinted>
  <dcterms:created xsi:type="dcterms:W3CDTF">2021-09-03T04:13:00Z</dcterms:created>
  <dcterms:modified xsi:type="dcterms:W3CDTF">2021-09-03T04:13:00Z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1V-wfuWKhXrULxqlgg3HojhKTTWzc9Tg2GD9FoGNpf1Q</vt:lpwstr>
  </property>
  <property fmtid="{D5CDD505-2E9C-101B-9397-08002B2CF9AE}" pid="4" name="Google.Documents.RevisionId">
    <vt:lpwstr>04253787979717681697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