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6" w:rsidRPr="00D33D26" w:rsidRDefault="00202891">
      <w:pPr>
        <w:rPr>
          <w:rFonts w:eastAsia="DFKai-SB" w:hint="eastAsia"/>
        </w:rPr>
      </w:pPr>
      <w:bookmarkStart w:id="0" w:name="_GoBack"/>
      <w:bookmarkEnd w:id="0"/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5715000</wp:posOffset>
                </wp:positionV>
                <wp:extent cx="2971800" cy="0"/>
                <wp:effectExtent l="9525" t="9525" r="9525" b="9525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50pt" to="22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IM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JoOgu96YzLIaRUOxuqo2f1araafndI6bIh6sAjx7eLgbwsZCTvUsLGGbhh333RDGLI0evY&#10;qHNt2wAJLUDnqMflrgc/e0ThcLSYZfM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"/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6057900" cy="571500"/>
                <wp:effectExtent l="9525" t="9525" r="9525" b="9525"/>
                <wp:wrapNone/>
                <wp:docPr id="3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>
                            <w:pPr>
                              <w:ind w:firstLineChars="200" w:firstLine="641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2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經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營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得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對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策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綱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01" o:spid="_x0000_s1026" type="#_x0000_t16" style="position:absolute;margin-left:135pt;margin-top:-9pt;width:47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">
                <v:textbox>
                  <w:txbxContent>
                    <w:p w:rsidR="00C53A86" w:rsidRDefault="00C53A86">
                      <w:pPr>
                        <w:ind w:firstLineChars="200" w:firstLine="641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2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經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營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得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對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策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大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綱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之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4914900</wp:posOffset>
                </wp:positionV>
                <wp:extent cx="2400300" cy="1257300"/>
                <wp:effectExtent l="9525" t="9525" r="9525" b="9525"/>
                <wp:wrapNone/>
                <wp:docPr id="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內容：</w:t>
                            </w:r>
                          </w:p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藉由地域的共同活動，擴大農地、農業用水等資源保全措施，並支援環境保全向上之營農活動。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7" type="#_x0000_t202" style="position:absolute;margin-left:567pt;margin-top:387pt;width:189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hzLQIAAFs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">
                <v:textbox>
                  <w:txbxContent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內容：</w:t>
                      </w:r>
                    </w:p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藉由地域的共同活動，擴大農地、農業用水等資源保全措施，並支援環境保全向上之營農活動。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1143000</wp:posOffset>
                </wp:positionV>
                <wp:extent cx="2743200" cy="5143500"/>
                <wp:effectExtent l="9525" t="9525" r="9525" b="9525"/>
                <wp:wrapNone/>
                <wp:docPr id="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margin-left:558pt;margin-top:90pt;width:3in;height:4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">
                <v:textbox style="layout-flow:vertical-ideographic">
                  <w:txbxContent>
                    <w:p w:rsidR="00C53A86" w:rsidRDefault="00C53A86"/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857500" cy="5257800"/>
                <wp:effectExtent l="9525" t="9525" r="9525" b="9525"/>
                <wp:wrapNone/>
                <wp:docPr id="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margin-left:0;margin-top:81pt;width:225pt;height:4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">
                <v:textbox style="layout-flow:vertical-ideographic">
                  <w:txbxContent>
                    <w:p w:rsidR="00C53A86" w:rsidRDefault="00C53A86"/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2628900" cy="1714500"/>
                <wp:effectExtent l="9525" t="9525" r="9525" b="9525"/>
                <wp:wrapNone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內容：</w:t>
                            </w:r>
                          </w:p>
                          <w:p w:rsidR="00C53A86" w:rsidRDefault="00C53A86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核心農家經營安定政策（稻米緩和收入減少影響政策核心農家部分）轉為跨品目經營安定政策。</w:t>
                            </w:r>
                          </w:p>
                          <w:p w:rsidR="00C53A86" w:rsidRDefault="00C53A86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產地再造政策之檢討（對於核心農家以外者米價下跌時之政策）。</w:t>
                            </w:r>
                          </w:p>
                          <w:p w:rsidR="00C53A86" w:rsidRDefault="00C53A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確保集貨圓滑化政策之實效性。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margin-left:9pt;margin-top:351pt;width:207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oLgIAAFs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">
                <v:textbox>
                  <w:txbxContent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內容：</w:t>
                      </w:r>
                    </w:p>
                    <w:p w:rsidR="00C53A86" w:rsidRDefault="00C53A86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>
                        <w:rPr>
                          <w:rFonts w:hint="eastAsia"/>
                        </w:rPr>
                        <w:t>核心農家經營安定政策（稻米緩和收入減少影響政策核心農家部分）轉為跨品目經營安定政策。</w:t>
                      </w:r>
                    </w:p>
                    <w:p w:rsidR="00C53A86" w:rsidRDefault="00C53A86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產地再造政策之檢討（對於核心農家以外者米價下跌時之政策）。</w:t>
                      </w:r>
                    </w:p>
                    <w:p w:rsidR="00C53A86" w:rsidRDefault="00C53A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rPr>
                          <w:rFonts w:hint="eastAsia"/>
                        </w:rPr>
                        <w:t>確保集貨圓滑化政策之實效性。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bCs/>
          <w:noProof/>
          <w:color w:val="000000"/>
        </w:rPr>
        <mc:AlternateContent>
          <mc:Choice Requires="wpc">
            <w:drawing>
              <wp:inline distT="0" distB="0" distL="0" distR="0">
                <wp:extent cx="9829800" cy="6515100"/>
                <wp:effectExtent l="0" t="0" r="0" b="0"/>
                <wp:docPr id="129" name="畫布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1"/>
                        <wps:cNvCnPr/>
                        <wps:spPr bwMode="auto">
                          <a:xfrm flipH="1">
                            <a:off x="2400440" y="800332"/>
                            <a:ext cx="34272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2"/>
                        <wps:cNvCnPr/>
                        <wps:spPr bwMode="auto">
                          <a:xfrm>
                            <a:off x="3658003" y="800332"/>
                            <a:ext cx="341396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171797" y="571477"/>
                            <a:ext cx="914834" cy="345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車之兩輪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5459" y="1256720"/>
                            <a:ext cx="1258897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2007</w:t>
                              </w:r>
                              <w:r>
                                <w:rPr>
                                  <w:rFonts w:hint="eastAsia"/>
                                </w:rPr>
                                <w:t>年產</w:t>
                              </w:r>
                              <w:r>
                                <w:rPr>
                                  <w:rFonts w:hint="eastAsia"/>
                                </w:rPr>
                                <w:t>~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8" y="1714430"/>
                            <a:ext cx="2628481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由於跨品目經營安定政策之導入，實施稻米緩和收入減少影響政策，重新檢討過去之稻米支援政策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8" y="3885248"/>
                            <a:ext cx="1142876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施策之對象─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76" y="3885248"/>
                            <a:ext cx="1257564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生產調整實施者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42729" y="2628529"/>
                            <a:ext cx="2400440" cy="8003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使米生產調整圓滑實施之政策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1257564" y="3428861"/>
                            <a:ext cx="486756" cy="3426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8" y="685243"/>
                            <a:ext cx="2285752" cy="57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米生產調整支援政策之檢討（米政策改革推進政策）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5274" y="1029187"/>
                            <a:ext cx="3312607" cy="5257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28" y="4686903"/>
                            <a:ext cx="3087232" cy="148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內容：</w:t>
                              </w:r>
                            </w:p>
                            <w:p w:rsidR="00C53A86" w:rsidRDefault="00C53A86">
                              <w:pPr>
                                <w:ind w:left="240" w:hangingChars="100" w:hanging="2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color w:val="000000"/>
                                </w:rPr>
                                <w:t>補正外國生產條件差距政策</w:t>
                              </w:r>
                              <w:r>
                                <w:rPr>
                                  <w:rFonts w:hint="eastAsia"/>
                                </w:rPr>
                                <w:t>（對象品目：麥、大豆、甜菜、澱粉原料用馬鈴薯）。</w:t>
                              </w:r>
                            </w:p>
                            <w:p w:rsidR="00C53A86" w:rsidRDefault="00C53A86">
                              <w:pPr>
                                <w:ind w:left="240" w:hangingChars="100" w:hanging="2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緩和收入減少影響政策（對象品目：米、麥、大豆、甜菜、澱粉用馬鈴薯）。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28" y="4115427"/>
                            <a:ext cx="1145543" cy="33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施策之對象─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58150" y="3829688"/>
                            <a:ext cx="2057710" cy="799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核心農家（認定農業者及具備一定條件，一定規模之集落營農）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16" y="1828197"/>
                            <a:ext cx="2857857" cy="799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以核心農家為對象，著眼經營全體，實施「</w:t>
                              </w:r>
                              <w:r>
                                <w:rPr>
                                  <w:color w:val="000000"/>
                                </w:rPr>
                                <w:t>補正外國生產條件差距政策</w:t>
                              </w:r>
                              <w:r>
                                <w:rPr>
                                  <w:rFonts w:hint="eastAsia"/>
                                </w:rPr>
                                <w:t>」及「緩和收入減少影響之政策」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3658003" y="2743618"/>
                            <a:ext cx="2743169" cy="6852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施策針對核心農家之集中化、重點化，以加速構造改革之政策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4686191" y="3428861"/>
                            <a:ext cx="486756" cy="3426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4" y="1371809"/>
                            <a:ext cx="1258897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2007</w:t>
                              </w:r>
                              <w:r>
                                <w:rPr>
                                  <w:rFonts w:hint="eastAsia"/>
                                </w:rPr>
                                <w:t>年產</w:t>
                              </w:r>
                              <w:r>
                                <w:rPr>
                                  <w:rFonts w:hint="eastAsia"/>
                                </w:rPr>
                                <w:t>~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733" y="571477"/>
                            <a:ext cx="1828335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跨品目經營安定政策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201319" y="4229193"/>
                            <a:ext cx="1141542" cy="343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施策之對象─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229507" y="3943454"/>
                            <a:ext cx="1372251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含核心農家以外等多樣主體參與之地域共同體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314673" y="1714430"/>
                            <a:ext cx="2287085" cy="1029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隨著跨品目經營安定政策之導入，藉由地域的共同活動，促進農地、農業用水等資源環境保全之新政策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314673" y="2800501"/>
                            <a:ext cx="2172398" cy="743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活化農村地域之政策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8229507" y="3543950"/>
                            <a:ext cx="486756" cy="3426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772090" y="1256720"/>
                            <a:ext cx="1257564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2007</w:t>
                              </w:r>
                              <w:r>
                                <w:rPr>
                                  <w:rFonts w:hint="eastAsia"/>
                                </w:rPr>
                                <w:t>年產</w:t>
                              </w:r>
                              <w:r>
                                <w:rPr>
                                  <w:rFonts w:hint="eastAsia"/>
                                </w:rPr>
                                <w:t>~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29360" y="571477"/>
                            <a:ext cx="2172398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農地、水、環境保全向上政策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857857" y="1943286"/>
                            <a:ext cx="457417" cy="456388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169" y="628360"/>
                            <a:ext cx="914834" cy="285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86" w:rsidRDefault="00C53A8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表裡一體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47"/>
                        <wps:cNvCnPr/>
                        <wps:spPr bwMode="auto">
                          <a:xfrm flipH="1">
                            <a:off x="5829067" y="800332"/>
                            <a:ext cx="34272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8"/>
                        <wps:cNvCnPr/>
                        <wps:spPr bwMode="auto">
                          <a:xfrm>
                            <a:off x="7086631" y="800332"/>
                            <a:ext cx="34272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629214" y="1943286"/>
                            <a:ext cx="457417" cy="57147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9" o:spid="_x0000_s1031" editas="canvas" style="width:774pt;height:513pt;mso-position-horizontal-relative:char;mso-position-vertical-relative:line" coordsize="98298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8298;height:65151;visibility:visible;mso-wrap-style:square">
                  <v:fill o:detectmouseclick="t"/>
                  <v:path o:connecttype="none"/>
                </v:shape>
                <v:line id="Line 131" o:spid="_x0000_s1033" style="position:absolute;flip:x;visibility:visible;mso-wrap-style:square" from="24004,8003" to="27431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132" o:spid="_x0000_s1034" style="position:absolute;visibility:visible;mso-wrap-style:square" from="36580,8003" to="39993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Text Box 105" o:spid="_x0000_s1035" type="#_x0000_t202" style="position:absolute;left:61717;top:5714;width:9149;height:3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車之兩輪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108" o:spid="_x0000_s1036" type="#_x0000_t202" style="position:absolute;left:6854;top:12567;width:1258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2007</w:t>
                        </w:r>
                        <w:r>
                          <w:rPr>
                            <w:rFonts w:hint="eastAsia"/>
                          </w:rPr>
                          <w:t>年產</w:t>
                        </w:r>
                        <w:r>
                          <w:rPr>
                            <w:rFonts w:hint="eastAsia"/>
                          </w:rPr>
                          <w:t>~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13" o:spid="_x0000_s1037" type="#_x0000_t202" style="position:absolute;left:1146;top:17144;width:26285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由於跨品目經營安定政策之導入，實施稻米緩和收入減少影響政策，重新檢討過去之稻米支援政策</w:t>
                        </w:r>
                      </w:p>
                    </w:txbxContent>
                  </v:textbox>
                </v:shape>
                <v:shape id="Text Box 115" o:spid="_x0000_s1038" type="#_x0000_t202" style="position:absolute;left:1146;top:38852;width:1142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施策之對象─</w:t>
                        </w:r>
                      </w:p>
                    </w:txbxContent>
                  </v:textbox>
                </v:shape>
                <v:shape id="Text Box 117" o:spid="_x0000_s1039" type="#_x0000_t202" style="position:absolute;left:11428;top:38852;width:12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生產調整實施者</w:t>
                        </w:r>
                      </w:p>
                    </w:txbxContent>
                  </v:textbox>
                </v:shape>
                <v:oval id="Oval 114" o:spid="_x0000_s1040" style="position:absolute;left:3427;top:26285;width:24004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使米生產調整圓滑實施之政策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38" o:spid="_x0000_s1041" type="#_x0000_t67" style="position:absolute;left:12575;top:34288;width:486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"/>
                </v:shape>
                <v:shape id="Text Box 102" o:spid="_x0000_s1042" type="#_x0000_t202" style="position:absolute;left:1146;top:6852;width:22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0vMMA&#10;AADbAAAADwAAAGRycy9kb3ducmV2LnhtbESPzW7CQAyE70i8w8pIvaCyKYdCAwtCRVTlyI96drMm&#10;CWS9IbuFlKfHByRutmY883k6b12lLtSE0rOBt0ECijjztuTcwH63eh2DChHZYuWZDPxTgPms25li&#10;av2VN3TZxlxJCIcUDRQx1qnWISvIYRj4mli0g28cRlmbXNsGrxLuKj1MknftsGRpKLCmz4Ky0/bP&#10;Gfg5EX34ze121jl+xf5ytC6Pv8a89NrFBFSkNj7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10vMMAAADbAAAADwAAAAAAAAAAAAAAAACYAgAAZHJzL2Rv&#10;d25yZXYueG1sUEsFBgAAAAAEAAQA9QAAAIgDAAAAAA==&#10;" strokeweight="3pt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米生產調整支援政策之檢討（米政策改革推進政策）</w:t>
                        </w:r>
                      </w:p>
                    </w:txbxContent>
                  </v:textbox>
                </v:shape>
                <v:shape id="Text Box 111" o:spid="_x0000_s1043" type="#_x0000_t202" style="position:absolute;left:33152;top:10291;width:33126;height:5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/b8A&#10;AADbAAAADwAAAGRycy9kb3ducmV2LnhtbERPS4vCMBC+L/gfwgh7WTTVg0o1iiwKXlZ83odmbIvN&#10;pCTZmv33G0HwNh/fcxaraBrRkfO1ZQWjYQaCuLC65lLB5bwdzED4gKyxsUwK/sjDatn7WGCu7YOP&#10;1J1CKVII+xwVVCG0uZS+qMigH9qWOHE36wyGBF0ptcNHCjeNHGfZRBqsOTVU2NJ3RcX99GsUxMn5&#10;62d6DNPNbN/FvcTt5uCuSn3243oOIlAMb/HLvdNp/gi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Pz9vwAAANsAAAAPAAAAAAAAAAAAAAAAAJgCAABkcnMvZG93bnJl&#10;di54bWxQSwUGAAAAAAQABAD1AAAAhAMAAAAA&#10;">
                  <v:textbox style="layout-flow:vertical-ideographic">
                    <w:txbxContent>
                      <w:p w:rsidR="00C53A86" w:rsidRDefault="00C53A86"/>
                    </w:txbxContent>
                  </v:textbox>
                </v:shape>
                <v:shape id="Text Box 122" o:spid="_x0000_s1044" type="#_x0000_t202" style="position:absolute;left:34286;top:46869;width:30872;height:14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內容：</w:t>
                        </w:r>
                      </w:p>
                      <w:p w:rsidR="00C53A86" w:rsidRDefault="00C53A86">
                        <w:pPr>
                          <w:ind w:left="240" w:hangingChars="100" w:hanging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color w:val="000000"/>
                          </w:rPr>
                          <w:t>補正外國生產條件差距政策</w:t>
                        </w:r>
                        <w:r>
                          <w:rPr>
                            <w:rFonts w:hint="eastAsia"/>
                          </w:rPr>
                          <w:t>（對象品目：麥、大豆、甜菜、澱粉原料用馬鈴薯）。</w:t>
                        </w:r>
                      </w:p>
                      <w:p w:rsidR="00C53A86" w:rsidRDefault="00C53A86">
                        <w:pPr>
                          <w:ind w:left="240" w:hangingChars="100" w:hanging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緩和收入減少影響政策（對象品目：米、麥、大豆、甜菜、澱粉用馬鈴薯）。</w:t>
                        </w:r>
                      </w:p>
                    </w:txbxContent>
                  </v:textbox>
                </v:shape>
                <v:shape id="Text Box 120" o:spid="_x0000_s1045" type="#_x0000_t202" style="position:absolute;left:34286;top:41154;width:11455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施策之對象─</w:t>
                        </w:r>
                      </w:p>
                    </w:txbxContent>
                  </v:textbox>
                </v:shape>
                <v:shape id="Text Box 121" o:spid="_x0000_s1046" type="#_x0000_t202" style="position:absolute;left:44581;top:38296;width:20577;height:7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核心農家（認定農業者及具備一定條件，一定規模之集落營農）</w:t>
                        </w:r>
                      </w:p>
                    </w:txbxContent>
                  </v:textbox>
                </v:shape>
                <v:shape id="Text Box 118" o:spid="_x0000_s1047" type="#_x0000_t202" style="position:absolute;left:35433;top:18281;width:28578;height:7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以核心農家為對象，著眼經營全體，實施「</w:t>
                        </w:r>
                        <w:r>
                          <w:rPr>
                            <w:color w:val="000000"/>
                          </w:rPr>
                          <w:t>補正外國生產條件差距政策</w:t>
                        </w:r>
                        <w:r>
                          <w:rPr>
                            <w:rFonts w:hint="eastAsia"/>
                          </w:rPr>
                          <w:t>」及「緩和收入減少影響之政策」</w:t>
                        </w:r>
                      </w:p>
                    </w:txbxContent>
                  </v:textbox>
                </v:shape>
                <v:oval id="Oval 119" o:spid="_x0000_s1048" style="position:absolute;left:36580;top:27436;width:2743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C53A86" w:rsidRDefault="00C53A86">
                        <w:pPr>
                          <w:spacing w:line="28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施策針對核心農家之集中化、重點化，以加速構造改革之政策</w:t>
                        </w:r>
                      </w:p>
                    </w:txbxContent>
                  </v:textbox>
                </v:oval>
                <v:shape id="AutoShape 140" o:spid="_x0000_s1049" type="#_x0000_t67" style="position:absolute;left:46861;top:34288;width:486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Hdr8A&#10;AADbAAAADwAAAGRycy9kb3ducmV2LnhtbERP22oCMRB9F/oPYQq+aXYLXliNUgTBN+vlA4bNuLu4&#10;maRJXNO/bwoF3+ZwrrPeJtOLgXzoLCsopwUI4trqjhsF18t+sgQRIrLG3jIp+KEA283baI2Vtk8+&#10;0XCOjcghHCpU0MboKilD3ZLBMLWOOHM36w3GDH0jtcdnDje9/CiKuTTYcW5o0dGupfp+fhgF38NX&#10;ecByno4pPZzX+9lsF51S4/f0uQIRKcWX+N990Hn+Av5+y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4d2vwAAANsAAAAPAAAAAAAAAAAAAAAAAJgCAABkcnMvZG93bnJl&#10;di54bWxQSwUGAAAAAAQABAD1AAAAhAMAAAAA&#10;">
                  <v:textbox style="layout-flow:vertical-ideographic"/>
                </v:shape>
                <v:shape id="Text Box 141" o:spid="_x0000_s1050" type="#_x0000_t202" style="position:absolute;left:42287;top:13718;width:1258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2007</w:t>
                        </w:r>
                        <w:r>
                          <w:rPr>
                            <w:rFonts w:hint="eastAsia"/>
                          </w:rPr>
                          <w:t>年產</w:t>
                        </w:r>
                        <w:r>
                          <w:rPr>
                            <w:rFonts w:hint="eastAsia"/>
                          </w:rPr>
                          <w:t>~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4" o:spid="_x0000_s1051" type="#_x0000_t202" style="position:absolute;left:40007;top:5714;width:18283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dIcEA&#10;AADbAAAADwAAAGRycy9kb3ducmV2LnhtbERPTWvCQBC9C/6HZYReim7aQ6vRNYiitMek4nnMjkk0&#10;O5tm15j667uFgrd5vM9ZJL2pRUetqywreJlEIIhzqysuFOy/tuMpCOeRNdaWScEPOUiWw8ECY21v&#10;nFKX+UKEEHYxKii9b2IpXV6SQTexDXHgTrY16ANsC6lbvIVwU8vXKHqTBisODSU2tC4pv2RXo+Bw&#10;IZrZ9H7/lgXu/PPm/bM6H5V6GvWrOQhPvX+I/90fOsyfwd8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3SHBAAAA2wAAAA8AAAAAAAAAAAAAAAAAmAIAAGRycy9kb3du&#10;cmV2LnhtbFBLBQYAAAAABAAEAPUAAACGAwAAAAA=&#10;" strokeweight="3pt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跨品目經營安定政策</w:t>
                        </w:r>
                      </w:p>
                    </w:txbxContent>
                  </v:textbox>
                </v:shape>
                <v:shape id="Text Box 142" o:spid="_x0000_s1052" type="#_x0000_t202" style="position:absolute;left:72013;top:42291;width:11415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施策之對象─</w:t>
                        </w:r>
                      </w:p>
                    </w:txbxContent>
                  </v:textbox>
                </v:shape>
                <v:shape id="Text Box 126" o:spid="_x0000_s1053" type="#_x0000_t202" style="position:absolute;left:82295;top:39434;width:13722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含核心農家以外等多樣主體參與之地域共同體</w:t>
                        </w:r>
                      </w:p>
                    </w:txbxContent>
                  </v:textbox>
                </v:shape>
                <v:shape id="Text Box 123" o:spid="_x0000_s1054" type="#_x0000_t202" style="position:absolute;left:73146;top:17144;width:22871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隨著跨品目經營安定政策之導入，藉由地域的共同活動，促進農地、農業用水等資源環境保全之新政策</w:t>
                        </w:r>
                      </w:p>
                    </w:txbxContent>
                  </v:textbox>
                </v:shape>
                <v:oval id="Oval 124" o:spid="_x0000_s1055" style="position:absolute;left:73146;top:28005;width:21724;height:7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活化農村地域之政策</w:t>
                        </w:r>
                      </w:p>
                    </w:txbxContent>
                  </v:textbox>
                </v:oval>
                <v:shape id="AutoShape 143" o:spid="_x0000_s1056" type="#_x0000_t67" style="position:absolute;left:82295;top:35439;width:486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vMEA&#10;AADbAAAADwAAAGRycy9kb3ducmV2LnhtbESP0WoCMRRE3wv+Q7iCbzW7UqWsRhFB8K3W9gMum+vu&#10;4uYmJnGNf2+EQh+HmTnDrDbJ9GIgHzrLCsppAYK4trrjRsHvz/79E0SIyBp7y6TgQQE269HbCitt&#10;7/xNwyk2IkM4VKigjdFVUoa6JYNhah1x9s7WG4xZ+kZqj/cMN72cFcVCGuw4L7ToaNdSfTndjILr&#10;cCwPWC7SV0o35/V+Pt9Fp9RknLZLEJFS/A//tQ9awewD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07zBAAAA2wAAAA8AAAAAAAAAAAAAAAAAmAIAAGRycy9kb3du&#10;cmV2LnhtbFBLBQYAAAAABAAEAPUAAACGAwAAAAA=&#10;">
                  <v:textbox style="layout-flow:vertical-ideographic"/>
                </v:shape>
                <v:shape id="Text Box 144" o:spid="_x0000_s1057" type="#_x0000_t202" style="position:absolute;left:77720;top:12567;width:12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2007</w:t>
                        </w:r>
                        <w:r>
                          <w:rPr>
                            <w:rFonts w:hint="eastAsia"/>
                          </w:rPr>
                          <w:t>年產</w:t>
                        </w:r>
                        <w:r>
                          <w:rPr>
                            <w:rFonts w:hint="eastAsia"/>
                          </w:rPr>
                          <w:t>~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6" o:spid="_x0000_s1058" type="#_x0000_t202" style="position:absolute;left:74293;top:5714;width:21724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D7sMA&#10;AADbAAAADwAAAGRycy9kb3ducmV2LnhtbESPQWvCQBSE7wX/w/IEL6VuzMHa1DWIpaJHtfT8mn1N&#10;0mTfxuwao7/eFYQeh5n5hpmnvalFR60rLSuYjCMQxJnVJecKvg6fLzMQziNrrC2Tggs5SBeDpzkm&#10;2p55R93e5yJA2CWooPC+SaR0WUEG3dg2xMH7ta1BH2SbS93iOcBNLeMomkqDJYeFAhtaFZRV+5NR&#10;8F0Rvdnd9XqUOa7988frtvz7UWo07JfvIDz1/j/8aG+0gngK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SD7sMAAADbAAAADwAAAAAAAAAAAAAAAACYAgAAZHJzL2Rv&#10;d25yZXYueG1sUEsFBgAAAAAEAAQA9QAAAIgDAAAAAA==&#10;" strokeweight="3pt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</w:p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農地、水、環境保全向上政策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45" o:spid="_x0000_s1059" type="#_x0000_t66" style="position:absolute;left:28578;top:19432;width:4574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WlMcA&#10;AADbAAAADwAAAGRycy9kb3ducmV2LnhtbESPT2sCMRTE74V+h/AKXopmta3KahRRpNLiwT9Ie3ts&#10;npvVzcuySXX99o1Q6HGYmd8w42ljS3Gh2heOFXQ7CQjizOmCcwX73bI9BOEDssbSMSm4kYfp5PFh&#10;jKl2V97QZRtyESHsU1RgQqhSKX1myKLvuIo4ekdXWwxR1rnUNV4j3JaylyR9abHguGCwormh7Lz9&#10;sQo+1s+LT3r/3h1ezPyNytPXxq9flWo9NbMRiEBN+A//tVdaQW8A9y/xB8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lVpTHAAAA2wAAAA8AAAAAAAAAAAAAAAAAmAIAAGRy&#10;cy9kb3ducmV2LnhtbFBLBQYAAAAABAAEAPUAAACMAwAAAAA=&#10;" adj="5388" fillcolor="black"/>
                <v:shape id="Text Box 103" o:spid="_x0000_s1060" type="#_x0000_t202" style="position:absolute;left:27431;top:6283;width:914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C53A86" w:rsidRDefault="00C53A8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表裡一體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line id="Line 147" o:spid="_x0000_s1061" style="position:absolute;flip:x;visibility:visible;mso-wrap-style:square" from="58290,8003" to="61717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48" o:spid="_x0000_s1062" style="position:absolute;visibility:visible;mso-wrap-style:square" from="70866,8003" to="74293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49" o:spid="_x0000_s1063" type="#_x0000_t13" style="position:absolute;left:66292;top:19432;width:4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Y3sAA&#10;AADbAAAADwAAAGRycy9kb3ducmV2LnhtbESPwcrCMBCE7z/4DmEFb7+pCiLVKCIKHkSw+gBrs7al&#10;zaY20da3N4LgcZiZb5jFqjOVeFLjCssKRsMIBHFqdcGZgst59z8D4TyyxsoyKXiRg9Wy97fAWNuW&#10;T/RMfCYChF2MCnLv61hKl+Zk0A1tTRy8m20M+iCbTOoG2wA3lRxH0VQaLDgs5FjTJqe0TB5Gwdpv&#10;j+Us2denQ9Feq6jE1kzvSg363XoOwlPnf+Fve68VTEb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6Y3sAAAADbAAAADwAAAAAAAAAAAAAAAACYAgAAZHJzL2Rvd25y&#10;ZXYueG1sUEsFBgAAAAAEAAQA9QAAAIUDAAAAAA==&#10;" fillcolor="black"/>
                <w10:anchorlock/>
              </v:group>
            </w:pict>
          </mc:Fallback>
        </mc:AlternateContent>
      </w:r>
    </w:p>
    <w:sectPr w:rsidR="00C53A86" w:rsidRPr="00D33D26">
      <w:footerReference w:type="even" r:id="rId8"/>
      <w:footerReference w:type="default" r:id="rId9"/>
      <w:pgSz w:w="16838" w:h="11906" w:orient="landscape"/>
      <w:pgMar w:top="899" w:right="818" w:bottom="899" w:left="9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AA" w:rsidRDefault="00B849AA">
      <w:r>
        <w:separator/>
      </w:r>
    </w:p>
  </w:endnote>
  <w:endnote w:type="continuationSeparator" w:id="0">
    <w:p w:rsidR="00B849AA" w:rsidRDefault="00B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86" w:rsidRDefault="00C53A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A86" w:rsidRDefault="00C53A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86" w:rsidRDefault="00C53A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2891">
      <w:rPr>
        <w:rStyle w:val="a4"/>
        <w:noProof/>
      </w:rPr>
      <w:t>1</w:t>
    </w:r>
    <w:r>
      <w:rPr>
        <w:rStyle w:val="a4"/>
      </w:rPr>
      <w:fldChar w:fldCharType="end"/>
    </w:r>
  </w:p>
  <w:p w:rsidR="00C53A86" w:rsidRDefault="00C53A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AA" w:rsidRDefault="00B849AA">
      <w:r>
        <w:separator/>
      </w:r>
    </w:p>
  </w:footnote>
  <w:footnote w:type="continuationSeparator" w:id="0">
    <w:p w:rsidR="00B849AA" w:rsidRDefault="00B8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52"/>
    <w:multiLevelType w:val="hybridMultilevel"/>
    <w:tmpl w:val="0F0215F8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E7D45"/>
    <w:multiLevelType w:val="hybridMultilevel"/>
    <w:tmpl w:val="0CBE4AB8"/>
    <w:lvl w:ilvl="0" w:tplc="FD32152C">
      <w:start w:val="1"/>
      <w:numFmt w:val="low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">
    <w:nsid w:val="091E6E34"/>
    <w:multiLevelType w:val="hybridMultilevel"/>
    <w:tmpl w:val="2BB2B164"/>
    <w:lvl w:ilvl="0" w:tplc="EC947A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1A7129"/>
    <w:multiLevelType w:val="hybridMultilevel"/>
    <w:tmpl w:val="005E920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FF1800"/>
    <w:multiLevelType w:val="hybridMultilevel"/>
    <w:tmpl w:val="FA4262D2"/>
    <w:lvl w:ilvl="0" w:tplc="B1582E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C805E4"/>
    <w:multiLevelType w:val="multilevel"/>
    <w:tmpl w:val="2520C5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D47353"/>
    <w:multiLevelType w:val="hybridMultilevel"/>
    <w:tmpl w:val="2C4E35A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81375F"/>
    <w:multiLevelType w:val="hybridMultilevel"/>
    <w:tmpl w:val="DBC6CCE2"/>
    <w:lvl w:ilvl="0" w:tplc="4CC8F8A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A2EB3C">
      <w:start w:val="4"/>
      <w:numFmt w:val="decimal"/>
      <w:lvlText w:val="(%2)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23E53DA2"/>
    <w:multiLevelType w:val="hybridMultilevel"/>
    <w:tmpl w:val="7FBE212A"/>
    <w:lvl w:ilvl="0" w:tplc="6C9053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8A3ED8"/>
    <w:multiLevelType w:val="multilevel"/>
    <w:tmpl w:val="13A04BA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0">
    <w:nsid w:val="32AB039A"/>
    <w:multiLevelType w:val="multilevel"/>
    <w:tmpl w:val="940AA954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32781"/>
    <w:multiLevelType w:val="hybridMultilevel"/>
    <w:tmpl w:val="35405BAE"/>
    <w:lvl w:ilvl="0" w:tplc="6F3E0FAC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4D2C48"/>
    <w:multiLevelType w:val="hybridMultilevel"/>
    <w:tmpl w:val="18E8BAE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164A74"/>
    <w:multiLevelType w:val="hybridMultilevel"/>
    <w:tmpl w:val="A5E25996"/>
    <w:lvl w:ilvl="0" w:tplc="E2EC371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D8804F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D8804F0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E61A341C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076275"/>
    <w:multiLevelType w:val="hybridMultilevel"/>
    <w:tmpl w:val="01A67B3C"/>
    <w:lvl w:ilvl="0" w:tplc="B1582E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2C7A81"/>
    <w:multiLevelType w:val="multilevel"/>
    <w:tmpl w:val="5524AF3C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582825"/>
    <w:multiLevelType w:val="hybridMultilevel"/>
    <w:tmpl w:val="F3965304"/>
    <w:lvl w:ilvl="0" w:tplc="6DE8EBD2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A962F5C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B041046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8C7E38"/>
    <w:multiLevelType w:val="hybridMultilevel"/>
    <w:tmpl w:val="0D7250E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465D86"/>
    <w:multiLevelType w:val="hybridMultilevel"/>
    <w:tmpl w:val="04A45112"/>
    <w:lvl w:ilvl="0" w:tplc="50A899E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7490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546E15C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0574E6"/>
    <w:multiLevelType w:val="multilevel"/>
    <w:tmpl w:val="CDB885E2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FD1D35"/>
    <w:multiLevelType w:val="hybridMultilevel"/>
    <w:tmpl w:val="5500522A"/>
    <w:lvl w:ilvl="0" w:tplc="187490C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A3C48"/>
    <w:multiLevelType w:val="multilevel"/>
    <w:tmpl w:val="6D8E736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50337852"/>
    <w:multiLevelType w:val="hybridMultilevel"/>
    <w:tmpl w:val="80C6B3EE"/>
    <w:lvl w:ilvl="0" w:tplc="4CC8F8A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>
    <w:nsid w:val="57424794"/>
    <w:multiLevelType w:val="hybridMultilevel"/>
    <w:tmpl w:val="1C541EC0"/>
    <w:lvl w:ilvl="0" w:tplc="88A0FF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32152C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FD32152C">
      <w:start w:val="1"/>
      <w:numFmt w:val="lowerLetter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4">
    <w:nsid w:val="57B6172D"/>
    <w:multiLevelType w:val="multilevel"/>
    <w:tmpl w:val="550052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823276"/>
    <w:multiLevelType w:val="hybridMultilevel"/>
    <w:tmpl w:val="0B8C38B2"/>
    <w:lvl w:ilvl="0" w:tplc="78D4E0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F104FC6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8C8B1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D8804F0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112BAA"/>
    <w:multiLevelType w:val="multilevel"/>
    <w:tmpl w:val="D5084414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340FD4"/>
    <w:multiLevelType w:val="hybridMultilevel"/>
    <w:tmpl w:val="80629B20"/>
    <w:lvl w:ilvl="0" w:tplc="740092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C37431"/>
    <w:multiLevelType w:val="multilevel"/>
    <w:tmpl w:val="005E4F5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3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4E283C"/>
    <w:multiLevelType w:val="hybridMultilevel"/>
    <w:tmpl w:val="5FC22F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4343444">
      <w:start w:val="3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0B4FA0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A51C2A"/>
    <w:multiLevelType w:val="multilevel"/>
    <w:tmpl w:val="707CE5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D664EF"/>
    <w:multiLevelType w:val="multilevel"/>
    <w:tmpl w:val="E1CCF32A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2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8C1D4F"/>
    <w:multiLevelType w:val="hybridMultilevel"/>
    <w:tmpl w:val="2520C544"/>
    <w:lvl w:ilvl="0" w:tplc="B462B14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CC8F8AA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4D7FF8"/>
    <w:multiLevelType w:val="multilevel"/>
    <w:tmpl w:val="99D88D9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34">
    <w:nsid w:val="68EC6F65"/>
    <w:multiLevelType w:val="hybridMultilevel"/>
    <w:tmpl w:val="707CE55C"/>
    <w:lvl w:ilvl="0" w:tplc="6C9053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3A4400"/>
    <w:multiLevelType w:val="multilevel"/>
    <w:tmpl w:val="45F07272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D8C60C0"/>
    <w:multiLevelType w:val="hybridMultilevel"/>
    <w:tmpl w:val="B928C450"/>
    <w:lvl w:ilvl="0" w:tplc="E4065DB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21C6021"/>
    <w:multiLevelType w:val="hybridMultilevel"/>
    <w:tmpl w:val="0E30C89C"/>
    <w:lvl w:ilvl="0" w:tplc="6F104FC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8">
    <w:nsid w:val="79480671"/>
    <w:multiLevelType w:val="hybridMultilevel"/>
    <w:tmpl w:val="BB402FBA"/>
    <w:lvl w:ilvl="0" w:tplc="5EE4D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9743C68"/>
    <w:multiLevelType w:val="hybridMultilevel"/>
    <w:tmpl w:val="32EABEF8"/>
    <w:lvl w:ilvl="0" w:tplc="EC947A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29"/>
  </w:num>
  <w:num w:numId="5">
    <w:abstractNumId w:val="18"/>
  </w:num>
  <w:num w:numId="6">
    <w:abstractNumId w:val="23"/>
  </w:num>
  <w:num w:numId="7">
    <w:abstractNumId w:val="21"/>
  </w:num>
  <w:num w:numId="8">
    <w:abstractNumId w:val="33"/>
  </w:num>
  <w:num w:numId="9">
    <w:abstractNumId w:val="9"/>
  </w:num>
  <w:num w:numId="10">
    <w:abstractNumId w:val="1"/>
  </w:num>
  <w:num w:numId="11">
    <w:abstractNumId w:val="20"/>
  </w:num>
  <w:num w:numId="12">
    <w:abstractNumId w:val="24"/>
  </w:num>
  <w:num w:numId="13">
    <w:abstractNumId w:val="13"/>
  </w:num>
  <w:num w:numId="14">
    <w:abstractNumId w:val="19"/>
  </w:num>
  <w:num w:numId="15">
    <w:abstractNumId w:val="16"/>
  </w:num>
  <w:num w:numId="16">
    <w:abstractNumId w:val="25"/>
  </w:num>
  <w:num w:numId="17">
    <w:abstractNumId w:val="35"/>
  </w:num>
  <w:num w:numId="18">
    <w:abstractNumId w:val="31"/>
  </w:num>
  <w:num w:numId="19">
    <w:abstractNumId w:val="10"/>
  </w:num>
  <w:num w:numId="20">
    <w:abstractNumId w:val="26"/>
  </w:num>
  <w:num w:numId="21">
    <w:abstractNumId w:val="37"/>
  </w:num>
  <w:num w:numId="22">
    <w:abstractNumId w:val="15"/>
  </w:num>
  <w:num w:numId="23">
    <w:abstractNumId w:val="28"/>
  </w:num>
  <w:num w:numId="24">
    <w:abstractNumId w:val="7"/>
  </w:num>
  <w:num w:numId="25">
    <w:abstractNumId w:val="22"/>
  </w:num>
  <w:num w:numId="26">
    <w:abstractNumId w:val="32"/>
  </w:num>
  <w:num w:numId="27">
    <w:abstractNumId w:val="5"/>
  </w:num>
  <w:num w:numId="28">
    <w:abstractNumId w:val="6"/>
  </w:num>
  <w:num w:numId="29">
    <w:abstractNumId w:val="27"/>
  </w:num>
  <w:num w:numId="30">
    <w:abstractNumId w:val="17"/>
  </w:num>
  <w:num w:numId="31">
    <w:abstractNumId w:val="0"/>
  </w:num>
  <w:num w:numId="32">
    <w:abstractNumId w:val="8"/>
  </w:num>
  <w:num w:numId="33">
    <w:abstractNumId w:val="34"/>
  </w:num>
  <w:num w:numId="34">
    <w:abstractNumId w:val="30"/>
  </w:num>
  <w:num w:numId="35">
    <w:abstractNumId w:val="11"/>
  </w:num>
  <w:num w:numId="36">
    <w:abstractNumId w:val="2"/>
  </w:num>
  <w:num w:numId="37">
    <w:abstractNumId w:val="39"/>
  </w:num>
  <w:num w:numId="38">
    <w:abstractNumId w:val="12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F"/>
    <w:rsid w:val="00067B2F"/>
    <w:rsid w:val="000B50D6"/>
    <w:rsid w:val="00202891"/>
    <w:rsid w:val="00B849AA"/>
    <w:rsid w:val="00C53A86"/>
    <w:rsid w:val="00D047EE"/>
    <w:rsid w:val="00D33D26"/>
    <w:rsid w:val="00E3002F"/>
    <w:rsid w:val="00E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ind w:leftChars="1800" w:left="100"/>
    </w:p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ind w:leftChars="1800" w:left="100"/>
    </w:p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NONE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日本「經營所得安定對策等實施要綱」</dc:title>
  <dc:creator>USER</dc:creator>
  <cp:lastModifiedBy>Chang Hebe</cp:lastModifiedBy>
  <cp:revision>2</cp:revision>
  <cp:lastPrinted>2006-08-27T15:24:00Z</cp:lastPrinted>
  <dcterms:created xsi:type="dcterms:W3CDTF">2021-06-21T12:36:00Z</dcterms:created>
  <dcterms:modified xsi:type="dcterms:W3CDTF">2021-06-21T12:36:00Z</dcterms:modified>
</cp:coreProperties>
</file>